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df35d3152818520e5b9b8fa2e91a5150aad27"/>
    <w:p>
      <w:pPr>
        <w:pStyle w:val="Heading1"/>
      </w:pPr>
      <w:r>
        <w:t xml:space="preserve">Supplement M4. Predictor selection and the typed feature representation</w:t>
      </w:r>
    </w:p>
    <w:p>
      <w:pPr>
        <w:pStyle w:val="FirstParagraph"/>
      </w:pPr>
      <w:r>
        <w:t xml:space="preserve">The candidate predictor set was specified before model fitting and before</w:t>
      </w:r>
      <w:r>
        <w:t xml:space="preserve"> </w:t>
      </w:r>
      <w:r>
        <w:t xml:space="preserve">predictor-outcome associations were examined. The approach followed manual</w:t>
      </w:r>
      <w:r>
        <w:t xml:space="preserve"> </w:t>
      </w:r>
      <w:r>
        <w:t xml:space="preserve">clinical and literature-based selection, as in the treatment-resistance model</w:t>
      </w:r>
      <w:r>
        <w:t xml:space="preserve"> </w:t>
      </w:r>
      <w:r>
        <w:t xml:space="preserve">of Perlis [18], rather than univariate screening or automated selection. No</w:t>
      </w:r>
      <w:r>
        <w:t xml:space="preserve"> </w:t>
      </w:r>
      <w:r>
        <w:t xml:space="preserve">variable was retained or removed because of its observed association with</w:t>
      </w:r>
      <w:r>
        <w:t xml:space="preserve"> </w:t>
      </w:r>
      <w:r>
        <w:t xml:space="preserve">TRD, and no automated selection step ran at any stage.</w:t>
      </w:r>
    </w:p>
    <w:p>
      <w:pPr>
        <w:pStyle w:val="BodyText"/>
      </w:pPr>
      <w:r>
        <w:t xml:space="preserve">The selected domains reflect prior treatment-resistance and</w:t>
      </w:r>
      <w:r>
        <w:t xml:space="preserve"> </w:t>
      </w:r>
      <w:r>
        <w:t xml:space="preserve">antidepressant-response research: depression severity and recurrence;</w:t>
      </w:r>
      <w:r>
        <w:t xml:space="preserve"> </w:t>
      </w:r>
      <w:r>
        <w:t xml:space="preserve">psychiatric and substance-use comorbidity, medical comorbidity, prior</w:t>
      </w:r>
      <w:r>
        <w:t xml:space="preserve"> </w:t>
      </w:r>
      <w:r>
        <w:t xml:space="preserve">antidepressant exposure and medication burden, health-care utilization, and</w:t>
      </w:r>
      <w:r>
        <w:t xml:space="preserve"> </w:t>
      </w:r>
      <w:r>
        <w:t xml:space="preserve">sociodemographic characteristics [18,19]. Unlike clinical-trial studies that</w:t>
      </w:r>
      <w:r>
        <w:t xml:space="preserve"> </w:t>
      </w:r>
      <w:r>
        <w:t xml:space="preserve">use scheduled symptom scales and structured interviews, this study is</w:t>
      </w:r>
      <w:r>
        <w:t xml:space="preserve"> </w:t>
      </w:r>
      <w:r>
        <w:t xml:space="preserve">restricted to structured fields recorded in routine EHR care, so depression</w:t>
      </w:r>
      <w:r>
        <w:t xml:space="preserve"> </w:t>
      </w:r>
      <w:r>
        <w:t xml:space="preserve">severity enters as diagnostic coding rather than as a rating-scale score.</w:t>
      </w:r>
      <w:r>
        <w:t xml:space="preserve"> </w:t>
      </w:r>
      <w:r>
        <w:t xml:space="preserve">Prior EHR prediction studies informed the feasible domains [20,21].</w:t>
      </w:r>
    </w:p>
    <w:p>
      <w:pPr>
        <w:pStyle w:val="BodyText"/>
      </w:pPr>
      <w:r>
        <w:t xml:space="preserve">Prescribing-constraint flags were retained because they describe whether</w:t>
      </w:r>
      <w:r>
        <w:t xml:space="preserve"> </w:t>
      </w:r>
      <w:r>
        <w:t xml:space="preserve">escalation options may be limited. Sociodemographic and social-determinant</w:t>
      </w:r>
      <w:r>
        <w:t xml:space="preserve"> </w:t>
      </w:r>
      <w:r>
        <w:t xml:space="preserve">fields were retained so that their direct contribution could be tested by the</w:t>
      </w:r>
      <w:r>
        <w:t xml:space="preserve"> </w:t>
      </w:r>
      <w:r>
        <w:t xml:space="preserve">semantic-feature ablation rather than rendered unobservable by design. The</w:t>
      </w:r>
      <w:r>
        <w:t xml:space="preserve"> </w:t>
      </w:r>
      <w:r>
        <w:t xml:space="preserve">only prespecified fields later removed were body mass index and systolic and</w:t>
      </w:r>
      <w:r>
        <w:t xml:space="preserve"> </w:t>
      </w:r>
      <w:r>
        <w:t xml:space="preserve">diastolic blood pressure, for the missingness reasons in Supplement M6 rather</w:t>
      </w:r>
      <w:r>
        <w:t xml:space="preserve"> </w:t>
      </w:r>
      <w:r>
        <w:t xml:space="preserve">than because of any association with the outcome.</w:t>
      </w:r>
    </w:p>
    <w:p>
      <w:pPr>
        <w:pStyle w:val="BodyText"/>
      </w:pPr>
      <w:r>
        <w:t xml:space="preserve">FEATURE assigns an explicit type to every field. Quantitative counts and</w:t>
      </w:r>
      <w:r>
        <w:t xml:space="preserve"> </w:t>
      </w:r>
      <w:r>
        <w:t xml:space="preserve">durations are continuous, including encounter count, pre-index history</w:t>
      </w:r>
      <w:r>
        <w:t xml:space="preserve"> </w:t>
      </w:r>
      <w:r>
        <w:t xml:space="preserve">length, age, per-agent adequate-trial counts, and medication burden. Single</w:t>
      </w:r>
      <w:r>
        <w:t xml:space="preserve"> </w:t>
      </w:r>
      <w:r>
        <w:t xml:space="preserve">binary flags and multi-label indicator sets are boolean, including</w:t>
      </w:r>
      <w:r>
        <w:t xml:space="preserve"> </w:t>
      </w:r>
      <w:r>
        <w:t xml:space="preserve">psychiatric and medical comorbidity, prescribing constraints, substance-use</w:t>
      </w:r>
      <w:r>
        <w:t xml:space="preserve"> </w:t>
      </w:r>
      <w:r>
        <w:t xml:space="preserve">categories, and social-determinant categories. Single-valued nominal</w:t>
      </w:r>
      <w:r>
        <w:t xml:space="preserve"> </w:t>
      </w:r>
      <w:r>
        <w:t xml:space="preserve">variables are categorical, including sex, preferred language, marital status,</w:t>
      </w:r>
      <w:r>
        <w:t xml:space="preserve"> </w:t>
      </w:r>
      <w:r>
        <w:t xml:space="preserve">religion, smoking status, race/ethnicity, MDD recurrence, and coded MDD</w:t>
      </w:r>
      <w:r>
        <w:t xml:space="preserve"> </w:t>
      </w:r>
      <w:r>
        <w:t xml:space="preserve">severity. An adequate prior antidepressant trial requires at least 42 days of</w:t>
      </w:r>
      <w:r>
        <w:t xml:space="preserve"> </w:t>
      </w:r>
      <w:r>
        <w:t xml:space="preserve">continuous exposure to an agent. The complete predictor inventory, with each</w:t>
      </w:r>
      <w:r>
        <w:t xml:space="preserve"> </w:t>
      </w:r>
      <w:r>
        <w:t xml:space="preserve">field’s type and encoded form, is Multimedia Appendix 1.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