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c4ce48a93e3c477b2410c79a44d5976fc994b3"/>
    <w:p>
      <w:pPr>
        <w:pStyle w:val="Heading1"/>
      </w:pPr>
      <w:r>
        <w:t xml:space="preserve">Supplement M7. Sample size and events per variable</w:t>
      </w:r>
    </w:p>
    <w:p>
      <w:pPr>
        <w:pStyle w:val="FirstParagraph"/>
      </w:pPr>
      <w:r>
        <w:t xml:space="preserve">No formal a-priori sample-size calculation was performed, because cohort size</w:t>
      </w:r>
      <w:r>
        <w:t xml:space="preserve"> </w:t>
      </w:r>
      <w:r>
        <w:t xml:space="preserve">was fixed by the eligibility cascade. Model dimensionality is summarized as</w:t>
      </w:r>
      <w:r>
        <w:t xml:space="preserve"> </w:t>
      </w:r>
      <w:r>
        <w:t xml:space="preserve">events per variable (EPV), the number of TRD-positive patients in the</w:t>
      </w:r>
      <w:r>
        <w:t xml:space="preserve"> </w:t>
      </w:r>
      <w:r>
        <w:t xml:space="preserve">training set divided by the number of encoded input columns. The numerator is</w:t>
      </w:r>
      <w:r>
        <w:t xml:space="preserve"> </w:t>
      </w:r>
      <w:r>
        <w:t xml:space="preserve">5,964 events rather than the total training sample of 34,063, because what</w:t>
      </w:r>
      <w:r>
        <w:t xml:space="preserve"> </w:t>
      </w:r>
      <w:r>
        <w:t xml:space="preserve">limits how precisely a coefficient can be estimated is the size of the</w:t>
      </w:r>
      <w:r>
        <w:t xml:space="preserve"> </w:t>
      </w:r>
      <w:r>
        <w:t xml:space="preserve">minority class. The denominator is the matrix dimension actually supplied to</w:t>
      </w:r>
      <w:r>
        <w:t xml:space="preserve"> </w:t>
      </w:r>
      <w:r>
        <w:t xml:space="preserve">the estimator.</w:t>
      </w:r>
    </w:p>
    <w:p>
      <w:pPr>
        <w:pStyle w:val="BodyText"/>
      </w:pPr>
      <w:r>
        <w:t xml:space="preserve">FEATURE contains 92 encoded columns, giving EPV = 5,964/92 ≈ 64.8. EMBEDDED</w:t>
      </w:r>
      <w:r>
        <w:t xml:space="preserve"> </w:t>
      </w:r>
      <w:r>
        <w:t xml:space="preserve">dimensionality is encoder-specific:</w:t>
      </w:r>
      <w:r>
        <w:t xml:space="preserve"> </w:t>
      </w:r>
      <w:r>
        <w:rPr>
          <w:rStyle w:val="VerbatimChar"/>
        </w:rPr>
        <w:t xml:space="preserve">bge-small-en-v1.5</w:t>
      </w:r>
      <w:r>
        <w:t xml:space="preserve"> </w:t>
      </w:r>
      <w:r>
        <w:t xml:space="preserve">has 384 dimensions</w:t>
      </w:r>
      <w:r>
        <w:t xml:space="preserve"> </w:t>
      </w:r>
      <w:r>
        <w:t xml:space="preserve">(EPV ≈ 15.5),</w:t>
      </w:r>
      <w:r>
        <w:t xml:space="preserve"> </w:t>
      </w:r>
      <w:r>
        <w:rPr>
          <w:rStyle w:val="VerbatimChar"/>
        </w:rPr>
        <w:t xml:space="preserve">Qwen3-Embedding-4B</w:t>
      </w:r>
      <w:r>
        <w:t xml:space="preserve"> </w:t>
      </w:r>
      <w:r>
        <w:t xml:space="preserve">has 2,560 (EPV ≈ 2.3), and</w:t>
      </w:r>
      <w:r>
        <w:t xml:space="preserve"> </w:t>
      </w:r>
      <w:r>
        <w:rPr>
          <w:rStyle w:val="VerbatimChar"/>
        </w:rPr>
        <w:t xml:space="preserve">bge-en-icl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each have 4,096 (EPV ≈ 1.5). Only the smallest</w:t>
      </w:r>
      <w:r>
        <w:t xml:space="preserve"> </w:t>
      </w:r>
      <w:r>
        <w:t xml:space="preserve">encoder exceeds the conventional threshold of 10 events per variable.</w:t>
      </w:r>
    </w:p>
    <w:p>
      <w:pPr>
        <w:pStyle w:val="BodyText"/>
      </w:pPr>
      <w:r>
        <w:t xml:space="preserve">EPV was developed for lower-dimensional regression and is not a complete</w:t>
      </w:r>
      <w:r>
        <w:t xml:space="preserve"> </w:t>
      </w:r>
      <w:r>
        <w:t xml:space="preserve">adequacy criterion for high-dimensional regularized learners. The three</w:t>
      </w:r>
      <w:r>
        <w:t xml:space="preserve"> </w:t>
      </w:r>
      <w:r>
        <w:t xml:space="preserve">larger encoders are therefore interpreted as high-dimensional regularized</w:t>
      </w:r>
      <w:r>
        <w:t xml:space="preserve"> </w:t>
      </w:r>
      <w:r>
        <w:t xml:space="preserve">models rather than as the low-dimensional regressions for which EPV was</w:t>
      </w:r>
      <w:r>
        <w:t xml:space="preserve"> </w:t>
      </w:r>
      <w:r>
        <w:t xml:space="preserve">devised. The low ratios nevertheless emphasize overfitting risk. EPV does not</w:t>
      </w:r>
      <w:r>
        <w:t xml:space="preserve"> </w:t>
      </w:r>
      <w:r>
        <w:t xml:space="preserve">account for the discrimination ranking:</w:t>
      </w:r>
      <w:r>
        <w:t xml:space="preserve"> </w:t>
      </w:r>
      <w:r>
        <w:rPr>
          <w:rStyle w:val="VerbatimChar"/>
        </w:rPr>
        <w:t xml:space="preserve">bge-small-en-v1.5</w:t>
      </w:r>
      <w:r>
        <w:t xml:space="preserve"> </w:t>
      </w:r>
      <w:r>
        <w:t xml:space="preserve">has the most</w:t>
      </w:r>
      <w:r>
        <w:t xml:space="preserve"> </w:t>
      </w:r>
      <w:r>
        <w:t xml:space="preserve">favorable ratio and is the weakest encoder.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