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upplement-m13.-metrics-and-uncertainty"/>
    <w:p>
      <w:pPr>
        <w:pStyle w:val="Heading1"/>
      </w:pPr>
      <w:r>
        <w:t xml:space="preserve">Supplement M13. Metrics and uncertainty</w:t>
      </w:r>
    </w:p>
    <w:p>
      <w:pPr>
        <w:pStyle w:val="FirstParagraph"/>
      </w:pPr>
      <w:r>
        <w:t xml:space="preserve">Discrimination was measured by ROC AUC. Calibration was summarized by</w:t>
      </w:r>
      <w:r>
        <w:t xml:space="preserve"> </w:t>
      </w:r>
      <w:r>
        <w:t xml:space="preserve">intercept and slope, with ideal values of 0 and 1. The extract was case-enriched, so the average predicted risk is anchored</w:t>
      </w:r>
      <w:r>
        <w:t xml:space="preserve"> </w:t>
      </w:r>
      <w:r>
        <w:t xml:space="preserve">to this cohort’s own TRD frequency. Carrying the models to a population</w:t>
      </w:r>
      <w:r>
        <w:t xml:space="preserve"> </w:t>
      </w:r>
      <w:r>
        <w:t xml:space="preserve">with a different rate would require rescaling the probabilities to it.</w:t>
      </w:r>
    </w:p>
    <w:p>
      <w:pPr>
        <w:pStyle w:val="BodyText"/>
      </w:pPr>
      <w:r>
        <w:t xml:space="preserve">Continuous probabilities were dichotomized at the test-set threshold</w:t>
      </w:r>
      <w:r>
        <w:t xml:space="preserve"> </w:t>
      </w:r>
      <w:r>
        <w:t xml:space="preserve">maximizing Youden’s J, and sensitivity, specificity, and positive and negative</w:t>
      </w:r>
      <w:r>
        <w:t xml:space="preserve"> </w:t>
      </w:r>
      <w:r>
        <w:t xml:space="preserve">likelihood ratios were calculated from the resulting confusion matrix.</w:t>
      </w:r>
      <w:r>
        <w:t xml:space="preserve"> </w:t>
      </w:r>
      <w:r>
        <w:t xml:space="preserve">Selecting and evaluating the threshold in the same test set produces</w:t>
      </w:r>
      <w:r>
        <w:t xml:space="preserve"> </w:t>
      </w:r>
      <w:r>
        <w:t xml:space="preserve">optimistic operating characteristics. These estimates characterize the ROC</w:t>
      </w:r>
      <w:r>
        <w:t xml:space="preserve"> </w:t>
      </w:r>
      <w:r>
        <w:t xml:space="preserve">curve and are not proposed for deployment. A clinical threshold would have to</w:t>
      </w:r>
      <w:r>
        <w:t xml:space="preserve"> </w:t>
      </w:r>
      <w:r>
        <w:t xml:space="preserve">be selected entirely within development data and evaluated in a separate</w:t>
      </w:r>
      <w:r>
        <w:t xml:space="preserve"> </w:t>
      </w:r>
      <w:r>
        <w:t xml:space="preserve">temporal or external cohort.</w:t>
      </w:r>
    </w:p>
    <w:p>
      <w:pPr>
        <w:pStyle w:val="BodyText"/>
      </w:pPr>
      <w:r>
        <w:t xml:space="preserve">Metric confidence intervals were estimated from 1,000 bootstrap</w:t>
      </w:r>
      <w:r>
        <w:t xml:space="preserve"> </w:t>
      </w:r>
      <w:r>
        <w:t xml:space="preserve">resamples of the test-set patients, drawn with replacement. For ablation contrasts, the same patient resample was applied to the baseline</w:t>
      </w:r>
      <w:r>
        <w:t xml:space="preserve"> </w:t>
      </w:r>
      <w:r>
        <w:t xml:space="preserve">and perturbed prediction vectors and the ROC AUC difference recomputed. The</w:t>
      </w:r>
      <w:r>
        <w:t xml:space="preserve"> </w:t>
      </w:r>
      <w:r>
        <w:t xml:space="preserve">point estimate is the full-sample difference, and the 2.5th and 97.5th</w:t>
      </w:r>
      <w:r>
        <w:t xml:space="preserve"> </w:t>
      </w:r>
      <w:r>
        <w:t xml:space="preserve">percentiles of the bootstrap distribution form the 95% confidence interval. Paired resampling preserves within-patient correlation</w:t>
      </w:r>
      <w:r>
        <w:t xml:space="preserve"> </w:t>
      </w:r>
      <w:r>
        <w:t xml:space="preserve">and avoids overstating the uncertainty of a difference.</w:t>
      </w:r>
    </w:p>
    <w:p>
      <w:pPr>
        <w:pStyle w:val="BodyText"/>
      </w:pPr>
      <w:r>
        <w:t xml:space="preserve">Representation contrasts used the same paired bootstrap.</w:t>
      </w:r>
      <w:r>
        <w:t xml:space="preserve"> </w:t>
      </w:r>
      <w:r>
        <w:t xml:space="preserve">Classifier-matched comparisons held the learner constant and varied only</w:t>
      </w:r>
      <w:r>
        <w:t xml:space="preserve"> </w:t>
      </w:r>
      <w:r>
        <w:t xml:space="preserve">FEATURE versus EMBEDDED. The best-feature-versus-best-embedded contrast</w:t>
      </w:r>
      <w:r>
        <w:t xml:space="preserve"> </w:t>
      </w:r>
      <w:r>
        <w:t xml:space="preserve">compares each representation’s strongest classifier, but that classifier</w:t>
      </w:r>
      <w:r>
        <w:t xml:space="preserve"> </w:t>
      </w:r>
      <w:r>
        <w:t xml:space="preserve">was identified post hoc on the test set, so the contrast is interpreted</w:t>
      </w:r>
      <w:r>
        <w:t xml:space="preserve"> </w:t>
      </w:r>
      <w:r>
        <w:t xml:space="preserve">descriptively. One resample matrix was reused across all contrasts to</w:t>
      </w:r>
      <w:r>
        <w:t xml:space="preserve"> </w:t>
      </w:r>
      <w:r>
        <w:t xml:space="preserve">keep them mutually comparable.</w:t>
      </w:r>
    </w:p>
    <w:p>
      <w:pPr>
        <w:pStyle w:val="BodyText"/>
      </w:pPr>
      <w:r>
        <w:t xml:space="preserve">No equivalence or noninferiority margin was prespecified. A paired confidence</w:t>
      </w:r>
      <w:r>
        <w:t xml:space="preserve"> </w:t>
      </w:r>
      <w:r>
        <w:t xml:space="preserve">interval containing zero indicates that superiority was not established at the</w:t>
      </w:r>
      <w:r>
        <w:t xml:space="preserve"> </w:t>
      </w:r>
      <w:r>
        <w:t xml:space="preserve">precision achieved. It does not establish equivalence.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2026-09-08T19:38:31Z</dcterms:created>
  <dcterms:modified xsi:type="dcterms:W3CDTF">2026-09-08T19:38:31Z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