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3.png" ContentType="image/png"/>
  <Override PartName="/word/media/rId24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e28326ace8ba61ebe94fda25dac0effa54836a"/>
    <w:p>
      <w:pPr>
        <w:pStyle w:val="Heading1"/>
      </w:pPr>
      <w:r>
        <w:t xml:space="preserve">Supplement S1. Effective dimensionality of the embedded representation</w:t>
      </w:r>
    </w:p>
    <w:p>
      <w:pPr>
        <w:pStyle w:val="FirstParagraph"/>
      </w:pPr>
      <w:r>
        <w:t xml:space="preserve">Individual embedding dimensions carry no clinical meaning. Per-feature</w:t>
      </w:r>
      <w:r>
        <w:t xml:space="preserve"> </w:t>
      </w:r>
      <w:r>
        <w:t xml:space="preserve">interpretability, available for the feature vector in main-text Figure 6,</w:t>
      </w:r>
      <w:r>
        <w:t xml:space="preserve"> </w:t>
      </w:r>
      <w:r>
        <w:t xml:space="preserve">therefore does not transfer to the 4,096-dimensional embedded representation. Instead we</w:t>
      </w:r>
      <w:r>
        <w:t xml:space="preserve"> </w:t>
      </w:r>
      <w:r>
        <w:t xml:space="preserve">characterize</w:t>
      </w:r>
      <w:r>
        <w:t xml:space="preserve"> </w:t>
      </w:r>
      <w:r>
        <w:rPr>
          <w:iCs/>
          <w:i/>
        </w:rPr>
        <w:t xml:space="preserve">how many</w:t>
      </w:r>
      <w:r>
        <w:t xml:space="preserve"> </w:t>
      </w:r>
      <w:r>
        <w:t xml:space="preserve">latent dimensions carry the predictive signal, using</w:t>
      </w:r>
      <w:r>
        <w:t xml:space="preserve"> </w:t>
      </w:r>
      <w:r>
        <w:t xml:space="preserve">three complementary views. All figures are for the primary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encoder on the held-out test set.</w:t>
      </w:r>
    </w:p>
    <w:bookmarkStart w:id="20" w:name="X1060d720c115f1ad4f94af0846463e30bf583bd"/>
    <w:p>
      <w:pPr>
        <w:pStyle w:val="Heading2"/>
      </w:pPr>
      <w:r>
        <w:t xml:space="preserve">S1.1 Sparsity and cumulative built-in importance</w:t>
      </w:r>
    </w:p>
    <w:p>
      <w:pPr>
        <w:pStyle w:val="FirstParagraph"/>
      </w:pPr>
      <w:r>
        <w:t xml:space="preserve">The best logistic-regression fit used an elasticnet penalty (</w:t>
      </w:r>
      <w:r>
        <w:rPr>
          <w:rStyle w:val="VerbatimChar"/>
        </w:rPr>
        <w:t xml:space="preserve">l1_ratio</w:t>
      </w:r>
      <w:r>
        <w:t xml:space="preserve"> </w:t>
      </w:r>
      <w:r>
        <w:t xml:space="preserve">0.25,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0.01) that zeroed most coefficients. Only 385 of the 4,096 dimensions carry</w:t>
      </w:r>
      <w:r>
        <w:t xml:space="preserve"> </w:t>
      </w:r>
      <w:r>
        <w:t xml:space="preserve">nonzero weight, so the signal is concentrated in a sparse subset of them. We then ranked dimensions by each fitted classifier’s native importance, using</w:t>
      </w:r>
      <w:r>
        <w:t xml:space="preserve"> </w:t>
      </w:r>
      <w:r>
        <w:rPr>
          <w:rStyle w:val="VerbatimChar"/>
        </w:rPr>
        <w:t xml:space="preserve">|coef|</w:t>
      </w:r>
      <w:r>
        <w:t xml:space="preserve"> </w:t>
      </w:r>
      <w:r>
        <w:t xml:space="preserve">for logistic regression and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for the tree</w:t>
      </w:r>
      <w:r>
        <w:t xml:space="preserve"> </w:t>
      </w:r>
      <w:r>
        <w:t xml:space="preserve">ensembles, and accumulated the importance mass. That confirms the</w:t>
      </w:r>
      <w:r>
        <w:t xml:space="preserve"> </w:t>
      </w:r>
      <w:r>
        <w:t xml:space="preserve">concentration. For logistic regression, 80% of the coefficient magnitude falls</w:t>
      </w:r>
      <w:r>
        <w:t xml:space="preserve"> </w:t>
      </w:r>
      <w:r>
        <w:t xml:space="preserve">in roughly 179 of the 4,096 dimensions and 90% in roughly 236 (main-text Figure</w:t>
      </w:r>
      <w:r>
        <w:t xml:space="preserve"> </w:t>
      </w:r>
      <w:r>
        <w:t xml:space="preserve">7). TRD-relevant information is therefore carried by a modest subset of</w:t>
      </w:r>
      <w:r>
        <w:t xml:space="preserve"> </w:t>
      </w:r>
      <w:r>
        <w:t xml:space="preserve">embedding dimensions rather than spread across the space.</w:t>
      </w:r>
    </w:p>
    <w:bookmarkEnd w:id="20"/>
    <w:bookmarkStart w:id="22" w:name="s1.2-cumulative-univariate-correlation"/>
    <w:p>
      <w:pPr>
        <w:pStyle w:val="Heading2"/>
      </w:pPr>
      <w:r>
        <w:t xml:space="preserve">S1.2 Cumulative univariate correlation</w:t>
      </w:r>
    </w:p>
    <w:p>
      <w:pPr>
        <w:pStyle w:val="FirstParagraph"/>
      </w:pPr>
      <w:r>
        <w:t xml:space="preserve">An importance ranking is model-specific. As a model-agnostic check we ranked</w:t>
      </w:r>
      <w:r>
        <w:t xml:space="preserve"> </w:t>
      </w:r>
      <w:r>
        <w:t xml:space="preserve">dimensions by the absolute Spearman correlation between each dimension and the</w:t>
      </w:r>
      <w:r>
        <w:t xml:space="preserve"> </w:t>
      </w:r>
      <w:r>
        <w:t xml:space="preserve">outcome, |ρ(dim, y)|, and overlaid that baseline against per-classifier curves</w:t>
      </w:r>
      <w:r>
        <w:t xml:space="preserve"> </w:t>
      </w:r>
      <w:r>
        <w:t xml:space="preserve">ranking dimensions by |ρ(dim, risk score)| (Figure S1). Divergence between the model-agnostic baseline and a classifier’s curve would</w:t>
      </w:r>
      <w:r>
        <w:t xml:space="preserve"> </w:t>
      </w:r>
      <w:r>
        <w:t xml:space="preserve">flag dimensions the classifier weights through regularization or interactions</w:t>
      </w:r>
      <w:r>
        <w:t xml:space="preserve"> </w:t>
      </w:r>
      <w:r>
        <w:t xml:space="preserve">that a univariate ranking cannot see. The model-agnostic correlation curve</w:t>
      </w:r>
      <w:r>
        <w:t xml:space="preserve"> </w:t>
      </w:r>
      <w:r>
        <w:t xml:space="preserve">remained diffuse, with many dimensions each weakly correlated with the outcome.</w:t>
      </w:r>
      <w:r>
        <w:t xml:space="preserve"> </w:t>
      </w:r>
      <w:r>
        <w:t xml:space="preserve">The elasticnet logistic-regression curve was far more concentrated, the</w:t>
      </w:r>
      <w:r>
        <w:t xml:space="preserve"> </w:t>
      </w:r>
      <w:r>
        <w:t xml:space="preserve">regularization having selected a compact predictive subset from a broadly</w:t>
      </w:r>
      <w:r>
        <w:t xml:space="preserve"> </w:t>
      </w:r>
      <w:r>
        <w:t xml:space="preserve">informative space. Only |ρ| is used, because the sign of a correlation on an unnamed latent</w:t>
      </w:r>
      <w:r>
        <w:t xml:space="preserve"> </w:t>
      </w:r>
      <w:r>
        <w:t xml:space="preserve">dimension is not interpretable.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correlation_cumulative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Figure S1.</w:t>
      </w:r>
      <w:r>
        <w:rPr>
          <w:iCs/>
          <w:i/>
        </w:rPr>
        <w:t xml:space="preserve"> </w:t>
      </w:r>
      <w:r>
        <w:rPr>
          <w:iCs/>
          <w:i/>
        </w:rPr>
        <w:t xml:space="preserve">Cumulative absolute univariate (Spearman) correlation. One</w:t>
      </w:r>
      <w:r>
        <w:rPr>
          <w:iCs/>
          <w:i/>
        </w:rPr>
        <w:t xml:space="preserve"> </w:t>
      </w:r>
      <w:r>
        <w:rPr>
          <w:iCs/>
          <w:i/>
        </w:rPr>
        <w:t xml:space="preserve">model-agnostic baseline curve ranks dimensions by |ρ(dim, outcome)|. The four</w:t>
      </w:r>
      <w:r>
        <w:rPr>
          <w:iCs/>
          <w:i/>
        </w:rPr>
        <w:t xml:space="preserve"> </w:t>
      </w:r>
      <w:r>
        <w:rPr>
          <w:iCs/>
          <w:i/>
        </w:rPr>
        <w:t xml:space="preserve">per-classifier curves rank by |ρ(dim, predicted risk)|. Cumulative fraction of</w:t>
      </w:r>
      <w:r>
        <w:rPr>
          <w:iCs/>
          <w:i/>
        </w:rPr>
        <w:t xml:space="preserve"> </w:t>
      </w:r>
      <w:r>
        <w:rPr>
          <w:iCs/>
          <w:i/>
        </w:rPr>
        <w:t xml:space="preserve">total |ρ| mass versus rank, with K₈₀ / K₉₀ knees in the legend.</w:t>
      </w:r>
    </w:p>
    <w:bookmarkEnd w:id="22"/>
    <w:bookmarkStart w:id="27" w:name="s1.3-pca-k-discrimination-sweep"/>
    <w:p>
      <w:pPr>
        <w:pStyle w:val="Heading2"/>
      </w:pPr>
      <w:r>
        <w:t xml:space="preserve">S1.3 PCA-K discrimination sweep</w:t>
      </w:r>
    </w:p>
    <w:p>
      <w:pPr>
        <w:pStyle w:val="FirstParagraph"/>
      </w:pPr>
      <w:r>
        <w:t xml:space="preserve">To locate the geometric plateau, each classifier was retrained on the top</w:t>
      </w:r>
      <w:r>
        <w:t xml:space="preserve"> </w:t>
      </w:r>
      <w:r>
        <w:t xml:space="preserve">K ∈ {1, 2, 4, 8, 16, 32, 64, 128, 256, 512, 1024} principal components of the</w:t>
      </w:r>
      <w:r>
        <w:t xml:space="preserve"> </w:t>
      </w:r>
      <w:r>
        <w:t xml:space="preserve">embedding and its held-out ROC AUC plotted against K (Figure S2).</w:t>
      </w:r>
      <w:r>
        <w:t xml:space="preserve"> </w:t>
      </w:r>
      <w:r>
        <w:t xml:space="preserve">Discrimination rose steeply over the first handful of components and then</w:t>
      </w:r>
      <w:r>
        <w:t xml:space="preserve"> </w:t>
      </w:r>
      <w:r>
        <w:t xml:space="preserve">plateaued, with no single low-dimensional projection recovering the full-rank</w:t>
      </w:r>
      <w:r>
        <w:t xml:space="preserve"> </w:t>
      </w:r>
      <w:r>
        <w:t xml:space="preserve">performance. That matches the diffuse model-agnostic curve in S1.2. The</w:t>
      </w:r>
      <w:r>
        <w:t xml:space="preserve"> </w:t>
      </w:r>
      <w:r>
        <w:t xml:space="preserve">compact subset in S1.1 is what the elasticnet penalty selects out of a broadly</w:t>
      </w:r>
      <w:r>
        <w:t xml:space="preserve"> </w:t>
      </w:r>
      <w:r>
        <w:t xml:space="preserve">informative space, not a low-dimensional subspace the signal already occupies.</w:t>
      </w:r>
    </w:p>
    <w:p>
      <w:pPr>
        <w:pStyle w:val="BodyText"/>
      </w:pPr>
      <w:r>
        <w:rPr>
          <w:bCs/>
          <w:b/>
        </w:rPr>
        <w:t xml:space="preserve">(A) Logistic regression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logistic_regression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(B) Random forest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random_forest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(C) Gradient boosting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gradient_boosting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(D) XGBoost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xgboost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Figure S2.</w:t>
      </w:r>
      <w:r>
        <w:rPr>
          <w:iCs/>
          <w:i/>
        </w:rPr>
        <w:t xml:space="preserve"> </w:t>
      </w:r>
      <w:r>
        <w:rPr>
          <w:iCs/>
          <w:i/>
        </w:rPr>
        <w:t xml:space="preserve">ROC AUC versus number of retained principal components, one</w:t>
      </w:r>
      <w:r>
        <w:rPr>
          <w:iCs/>
          <w:i/>
        </w:rPr>
        <w:t xml:space="preserve"> </w:t>
      </w:r>
      <w:r>
        <w:rPr>
          <w:iCs/>
          <w:i/>
        </w:rPr>
        <w:t xml:space="preserve">panel per classifier: (A) logistic regression, (B) random forest,</w:t>
      </w:r>
      <w:r>
        <w:rPr>
          <w:iCs/>
          <w:i/>
        </w:rPr>
        <w:t xml:space="preserve"> </w:t>
      </w:r>
      <w:r>
        <w:rPr>
          <w:iCs/>
          <w:i/>
        </w:rPr>
        <w:t xml:space="preserve">(C) gradient boosting, (D) XGBoost. The plateau marks the effective number of</w:t>
      </w:r>
      <w:r>
        <w:rPr>
          <w:iCs/>
          <w:i/>
        </w:rPr>
        <w:t xml:space="preserve"> </w:t>
      </w:r>
      <w:r>
        <w:rPr>
          <w:iCs/>
          <w:i/>
        </w:rPr>
        <w:t xml:space="preserve">principal directions beyond which added components do not improve</w:t>
      </w:r>
      <w:r>
        <w:rPr>
          <w:iCs/>
          <w:i/>
        </w:rPr>
        <w:t xml:space="preserve"> </w:t>
      </w:r>
      <w:r>
        <w:rPr>
          <w:iCs/>
          <w:i/>
        </w:rPr>
        <w:t xml:space="preserve">discrimination.</w:t>
      </w:r>
    </w:p>
    <w:bookmarkEnd w:id="27"/>
    <w:bookmarkEnd w:id="28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