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679f76447d3e8e373ecbba3382b2dc9734b809d"/>
    <w:p>
      <w:pPr>
        <w:pStyle w:val="Heading1"/>
      </w:pPr>
      <w:r>
        <w:t xml:space="preserve">Supplement S2. Precision–recall performance</w:t>
      </w:r>
    </w:p>
    <w:p>
      <w:pPr>
        <w:pStyle w:val="FirstParagraph"/>
      </w:pPr>
      <w:r>
        <w:t xml:space="preserve">The main text reports discrimination as ROC AUC. Under the cohort’s ~5:1 class</w:t>
      </w:r>
      <w:r>
        <w:t xml:space="preserve"> </w:t>
      </w:r>
      <w:r>
        <w:t xml:space="preserve">imbalance (17.5% TRD-positive), ROC AUC can flatter apparent performance</w:t>
      </w:r>
      <w:r>
        <w:t xml:space="preserve"> </w:t>
      </w:r>
      <w:r>
        <w:t xml:space="preserve">because the true-negative-dominated specificity term stays high regardless of</w:t>
      </w:r>
      <w:r>
        <w:t xml:space="preserve"> </w:t>
      </w:r>
      <w:r>
        <w:t xml:space="preserve">how the positive class is ranked. The area under the precision–recall curve</w:t>
      </w:r>
      <w:r>
        <w:t xml:space="preserve"> </w:t>
      </w:r>
      <w:r>
        <w:t xml:space="preserve">(AUPRC) is the complementary view: its no-skill baseline is the positive rate</w:t>
      </w:r>
      <w:r>
        <w:t xml:space="preserve"> </w:t>
      </w:r>
      <w:r>
        <w:t xml:space="preserve">itself (0.175), not 0.5, and it exposes the precision cost of capturing TRD</w:t>
      </w:r>
      <w:r>
        <w:t xml:space="preserve"> </w:t>
      </w:r>
      <w:r>
        <w:t xml:space="preserve">cases. We report it here rather than in the main text.</w:t>
      </w:r>
    </w:p>
    <w:p>
      <w:pPr>
        <w:pStyle w:val="BodyText"/>
      </w:pPr>
      <w:r>
        <w:t xml:space="preserve">AUPRC tracked ROC AUC closely and remained modest for every model (Table S1):</w:t>
      </w:r>
      <w:r>
        <w:t xml:space="preserve"> </w:t>
      </w:r>
      <w:r>
        <w:t xml:space="preserve">at this base rate, capturing high recall on the TRD proxy necessarily forces</w:t>
      </w:r>
      <w:r>
        <w:t xml:space="preserve"> </w:t>
      </w:r>
      <w:r>
        <w:t xml:space="preserve">low precision. No clinical role is inferred from these values. The main text’s</w:t>
      </w:r>
      <w:r>
        <w:t xml:space="preserve"> </w:t>
      </w:r>
      <w:r>
        <w:t xml:space="preserve">Discussion,</w:t>
      </w:r>
      <w:r>
        <w:t xml:space="preserve"> </w:t>
      </w:r>
      <w:r>
        <w:rPr>
          <w:iCs/>
          <w:i/>
        </w:rPr>
        <w:t xml:space="preserve">Implications and future directions</w:t>
      </w:r>
      <w:r>
        <w:t xml:space="preserve">, records that temporal</w:t>
      </w:r>
      <w:r>
        <w:t xml:space="preserve"> </w:t>
      </w:r>
      <w:r>
        <w:t xml:space="preserve">and external validation are prerequisites</w:t>
      </w:r>
      <w:r>
        <w:t xml:space="preserve"> </w:t>
      </w:r>
      <w:r>
        <w:t xml:space="preserve">for any such claim.</w:t>
      </w:r>
    </w:p>
    <w:p>
      <w:pPr>
        <w:pStyle w:val="BodyText"/>
      </w:pPr>
      <w:r>
        <w:rPr>
          <w:bCs/>
          <w:b/>
          <w:iCs/>
          <w:i/>
        </w:rPr>
        <w:t xml:space="preserve">Table S1.</w:t>
      </w:r>
      <w:r>
        <w:rPr>
          <w:iCs/>
          <w:i/>
        </w:rPr>
        <w:t xml:space="preserve"> </w:t>
      </w:r>
      <w:r>
        <w:rPr>
          <w:iCs/>
          <w:i/>
        </w:rPr>
        <w:t xml:space="preserve">AUPRC of the four classifiers on each representation (held-out</w:t>
      </w:r>
      <w:r>
        <w:rPr>
          <w:iCs/>
          <w:i/>
        </w:rPr>
        <w:t xml:space="preserve"> </w:t>
      </w:r>
      <w:r>
        <w:rPr>
          <w:iCs/>
          <w:i/>
        </w:rPr>
        <w:t xml:space="preserve">test set). No-skill baseline = 0.175 (the positive rate).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Representation</w:t>
            </w:r>
          </w:p>
        </w:tc>
        <w:tc>
          <w:p>
            <w:pPr>
              <w:pStyle w:val="Compact"/>
              <w:jc w:val="left"/>
            </w:pPr>
            <w:r>
              <w:t xml:space="preserve">Classifier</w:t>
            </w:r>
          </w:p>
        </w:tc>
        <w:tc>
          <w:p>
            <w:pPr>
              <w:pStyle w:val="Compact"/>
              <w:jc w:val="right"/>
            </w:pPr>
            <w:r>
              <w:t xml:space="preserve">AUPRC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EMBEDDED</w:t>
            </w:r>
          </w:p>
        </w:tc>
        <w:tc>
          <w:p>
            <w:pPr>
              <w:pStyle w:val="Compact"/>
              <w:jc w:val="left"/>
            </w:pPr>
            <w:r>
              <w:t xml:space="preserve">Logistic regression</w:t>
            </w:r>
          </w:p>
        </w:tc>
        <w:tc>
          <w:p>
            <w:pPr>
              <w:pStyle w:val="Compact"/>
              <w:jc w:val="right"/>
            </w:pPr>
            <w:r>
              <w:t xml:space="preserve">0.302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EMBEDDED</w:t>
            </w:r>
          </w:p>
        </w:tc>
        <w:tc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p>
            <w:pPr>
              <w:pStyle w:val="Compact"/>
              <w:jc w:val="right"/>
            </w:pPr>
            <w:r>
              <w:t xml:space="preserve">0.270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EMBEDDED</w:t>
            </w:r>
          </w:p>
        </w:tc>
        <w:tc>
          <w:p>
            <w:pPr>
              <w:pStyle w:val="Compact"/>
              <w:jc w:val="left"/>
            </w:pPr>
            <w:r>
              <w:t xml:space="preserve">Gradient boosting</w:t>
            </w:r>
          </w:p>
        </w:tc>
        <w:tc>
          <w:p>
            <w:pPr>
              <w:pStyle w:val="Compact"/>
              <w:jc w:val="right"/>
            </w:pPr>
            <w:r>
              <w:t xml:space="preserve">0.276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EMBEDDED</w:t>
            </w:r>
          </w:p>
        </w:tc>
        <w:tc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p>
            <w:pPr>
              <w:pStyle w:val="Compact"/>
              <w:jc w:val="right"/>
            </w:pPr>
            <w:r>
              <w:t xml:space="preserve">0.278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Logistic regression</w:t>
            </w:r>
          </w:p>
        </w:tc>
        <w:tc>
          <w:p>
            <w:pPr>
              <w:pStyle w:val="Compact"/>
              <w:jc w:val="right"/>
            </w:pPr>
            <w:r>
              <w:t xml:space="preserve">0.278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p>
            <w:pPr>
              <w:pStyle w:val="Compact"/>
              <w:jc w:val="right"/>
            </w:pPr>
            <w:r>
              <w:t xml:space="preserve">0.293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Gradient boosting</w:t>
            </w:r>
          </w:p>
        </w:tc>
        <w:tc>
          <w:p>
            <w:pPr>
              <w:pStyle w:val="Compact"/>
              <w:jc w:val="right"/>
            </w:pPr>
            <w:r>
              <w:t xml:space="preserve">0.288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XGBoost</w:t>
            </w:r>
          </w:p>
        </w:tc>
        <w:tc>
          <w:p>
            <w:pPr>
              <w:pStyle w:val="Compact"/>
              <w:jc w:val="right"/>
            </w:pPr>
            <w:r>
              <w:t xml:space="preserve">0.298</w:t>
            </w:r>
          </w:p>
        </w:tc>
      </w:tr>
    </w:tbl>
    <w:p>
      <w:pPr>
        <w:pStyle w:val="BodyText"/>
      </w:pPr>
      <w:r>
        <w:rPr>
          <w:bCs/>
          <w:b/>
          <w:iCs/>
          <w:i/>
        </w:rPr>
        <w:t xml:space="preserve">Table S2.</w:t>
      </w:r>
      <w:r>
        <w:rPr>
          <w:iCs/>
          <w:i/>
        </w:rPr>
        <w:t xml:space="preserve"> </w:t>
      </w:r>
      <w:r>
        <w:rPr>
          <w:iCs/>
          <w:i/>
        </w:rPr>
        <w:t xml:space="preserve">Embedded logistic-regression AUPRC by encoder (held-out test</w:t>
      </w:r>
      <w:r>
        <w:rPr>
          <w:iCs/>
          <w:i/>
        </w:rPr>
        <w:t xml:space="preserve"> </w:t>
      </w:r>
      <w:r>
        <w:rPr>
          <w:iCs/>
          <w:i/>
        </w:rPr>
        <w:t xml:space="preserve">set). No-skill baseline = 0.175.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Encoder</w:t>
            </w:r>
          </w:p>
        </w:tc>
        <w:tc>
          <w:p>
            <w:pPr>
              <w:pStyle w:val="Compact"/>
              <w:jc w:val="right"/>
            </w:pPr>
            <w:r>
              <w:t xml:space="preserve">AUPRC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bge-small-en-v1.5</w:t>
            </w:r>
          </w:p>
        </w:tc>
        <w:tc>
          <w:p>
            <w:pPr>
              <w:pStyle w:val="Compact"/>
              <w:jc w:val="right"/>
            </w:pPr>
            <w:r>
              <w:t xml:space="preserve">0.281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bge-en-icl</w:t>
            </w:r>
          </w:p>
        </w:tc>
        <w:tc>
          <w:p>
            <w:pPr>
              <w:pStyle w:val="Compact"/>
              <w:jc w:val="right"/>
            </w:pPr>
            <w:r>
              <w:t xml:space="preserve">0.297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Qwen3-Embedding-4B</w:t>
            </w:r>
          </w:p>
        </w:tc>
        <w:tc>
          <w:p>
            <w:pPr>
              <w:pStyle w:val="Compact"/>
              <w:jc w:val="right"/>
            </w:pPr>
            <w:r>
              <w:t xml:space="preserve">0.297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Qwen3-Embedding-8B</w:t>
            </w:r>
          </w:p>
        </w:tc>
        <w:tc>
          <w:p>
            <w:pPr>
              <w:pStyle w:val="Compact"/>
              <w:jc w:val="right"/>
            </w:pPr>
            <w:r>
              <w:t xml:space="preserve">0.302</w:t>
            </w:r>
          </w:p>
        </w:tc>
      </w:tr>
    </w:tbl>
    <w:p>
      <w:pPr>
        <w:pStyle w:val="BodyText"/>
      </w:pPr>
      <w:r>
        <w:rPr>
          <w:bCs/>
          <w:b/>
        </w:rPr>
        <w:t xml:space="preserve">(A) Embedded logistic regression</w:t>
      </w:r>
    </w:p>
    <w:p>
      <w:pPr>
        <w:pStyle w:val="BodyText"/>
      </w:pPr>
      <w:r>
        <w:drawing>
          <wp:inline>
            <wp:extent cx="5486400" cy="296265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../results/Qwen-Qwen3-Embedding-8B/google_medgemma-27b-text-it/pr_curves/pr_curve_logistic_regression_EMBEDDED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62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(B) Feature-vector XGBoost</w:t>
      </w:r>
    </w:p>
    <w:p>
      <w:pPr>
        <w:pStyle w:val="BodyText"/>
      </w:pPr>
      <w:r>
        <w:drawing>
          <wp:inline>
            <wp:extent cx="5486400" cy="296265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../results/Qwen-Qwen3-Embedding-8B/google_medgemma-27b-text-it/pr_curves/pr_curve_xgboost_FEATUR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62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  <w:iCs/>
          <w:i/>
        </w:rPr>
        <w:t xml:space="preserve">Figure S3.</w:t>
      </w:r>
      <w:r>
        <w:rPr>
          <w:iCs/>
          <w:i/>
        </w:rPr>
        <w:t xml:space="preserve"> </w:t>
      </w:r>
      <w:r>
        <w:rPr>
          <w:iCs/>
          <w:i/>
        </w:rPr>
        <w:t xml:space="preserve">Precision–recall curves for the best classifier on each</w:t>
      </w:r>
      <w:r>
        <w:rPr>
          <w:iCs/>
          <w:i/>
        </w:rPr>
        <w:t xml:space="preserve"> </w:t>
      </w:r>
      <w:r>
        <w:rPr>
          <w:iCs/>
          <w:i/>
        </w:rPr>
        <w:t xml:space="preserve">representation (held-out test set; primary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Qwen3-Embedding-8B</w:t>
      </w:r>
      <w:r>
        <w:rPr>
          <w:iCs/>
          <w:i/>
        </w:rPr>
        <w:t xml:space="preserve"> </w:t>
      </w:r>
      <w:r>
        <w:rPr>
          <w:iCs/>
          <w:i/>
        </w:rPr>
        <w:t xml:space="preserve">encoder).</w:t>
      </w:r>
      <w:r>
        <w:rPr>
          <w:iCs/>
          <w:i/>
        </w:rPr>
        <w:t xml:space="preserve"> </w:t>
      </w:r>
      <w:r>
        <w:rPr>
          <w:iCs/>
          <w:i/>
        </w:rPr>
        <w:t xml:space="preserve">(A) Embedded logistic regression; (B) feature-vector XGBoost. The horizontal</w:t>
      </w:r>
      <w:r>
        <w:rPr>
          <w:iCs/>
          <w:i/>
        </w:rPr>
        <w:t xml:space="preserve"> </w:t>
      </w:r>
      <w:r>
        <w:rPr>
          <w:iCs/>
          <w:i/>
        </w:rPr>
        <w:t xml:space="preserve">reference is the no-skill baseline (0.175, the positive rate).</w:t>
      </w:r>
    </w:p>
    <w:bookmarkEnd w:id="22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2026-09-08T19:38:31Z</dcterms:created>
  <dcterms:modified xsi:type="dcterms:W3CDTF">2026-09-08T19:38:31Z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