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35327a2b6be4052081f5904954394c6402ad3d"/>
    <w:p>
      <w:pPr>
        <w:pStyle w:val="Heading1"/>
      </w:pPr>
      <w:r>
        <w:t xml:space="preserve">Supplement S7. Subgroup discrimination and calibration</w:t>
      </w:r>
    </w:p>
    <w:p>
      <w:pPr>
        <w:pStyle w:val="FirstParagraph"/>
      </w:pPr>
      <w:r>
        <w:t xml:space="preserve">This paper makes no fairness claim (Methods,</w:t>
      </w:r>
      <w:r>
        <w:t xml:space="preserve"> </w:t>
      </w:r>
      <w:r>
        <w:rPr>
          <w:iCs/>
          <w:i/>
        </w:rPr>
        <w:t xml:space="preserve">Model development</w:t>
      </w:r>
      <w:r>
        <w:t xml:space="preserve">,</w:t>
      </w:r>
      <w:r>
        <w:t xml:space="preserve"> </w:t>
      </w:r>
      <w:r>
        <w:rPr>
          <w:bCs/>
          <w:b/>
        </w:rPr>
        <w:t xml:space="preserve">Semantic-feature ablation</w:t>
      </w:r>
      <w:r>
        <w:t xml:space="preserve">, Discussion,</w:t>
      </w:r>
      <w:r>
        <w:t xml:space="preserve"> </w:t>
      </w:r>
      <w:r>
        <w:rPr>
          <w:iCs/>
          <w:i/>
        </w:rPr>
        <w:t xml:space="preserve">Limitations</w:t>
      </w:r>
      <w:r>
        <w:t xml:space="preserve">). The permutation</w:t>
      </w:r>
      <w:r>
        <w:t xml:space="preserve"> </w:t>
      </w:r>
      <w:r>
        <w:t xml:space="preserve">slate it reports measures how much a model’s discrimination depends on a</w:t>
      </w:r>
      <w:r>
        <w:t xml:space="preserve"> </w:t>
      </w:r>
      <w:r>
        <w:t xml:space="preserve">concept being present in its input, which is a different question from whether</w:t>
      </w:r>
      <w:r>
        <w:t xml:space="preserve"> </w:t>
      </w:r>
      <w:r>
        <w:t xml:space="preserve">performance is even across groups. This section reports the subgroup evidence</w:t>
      </w:r>
      <w:r>
        <w:t xml:space="preserve"> </w:t>
      </w:r>
      <w:r>
        <w:t xml:space="preserve">itself.</w:t>
      </w:r>
    </w:p>
    <w:bookmarkStart w:id="20" w:name="s7.1-design"/>
    <w:p>
      <w:pPr>
        <w:pStyle w:val="Heading2"/>
      </w:pPr>
      <w:r>
        <w:t xml:space="preserve">S7.1 Design</w:t>
      </w:r>
    </w:p>
    <w:p>
      <w:pPr>
        <w:pStyle w:val="FirstParagraph"/>
      </w:pPr>
      <w:r>
        <w:rPr>
          <w:bCs/>
          <w:b/>
        </w:rPr>
        <w:t xml:space="preserve">Nothing was refit.</w:t>
      </w:r>
      <w:r>
        <w:t xml:space="preserve"> </w:t>
      </w:r>
      <w:r>
        <w:t xml:space="preserve">The per-patient held-out predicted probabilities the</w:t>
      </w:r>
      <w:r>
        <w:t xml:space="preserve"> </w:t>
      </w:r>
      <w:r>
        <w:t xml:space="preserve">pipeline persists were partitioned by stratum, and discrimination and</w:t>
      </w:r>
      <w:r>
        <w:t xml:space="preserve"> </w:t>
      </w:r>
      <w:r>
        <w:t xml:space="preserve">calibration were recomputed inside each group. Subsetting a per-patient</w:t>
      </w:r>
      <w:r>
        <w:t xml:space="preserve"> </w:t>
      </w:r>
      <w:r>
        <w:t xml:space="preserve">prediction vector is arithmetically identical to scoring that model on the</w:t>
      </w:r>
      <w:r>
        <w:t xml:space="preserve"> </w:t>
      </w:r>
      <w:r>
        <w:t xml:space="preserve">subset, so no published number can drift. Refitting within a subgroup would</w:t>
      </w:r>
      <w:r>
        <w:t xml:space="preserve"> </w:t>
      </w:r>
      <w:r>
        <w:t xml:space="preserve">answer a different question, namely how a model trained only on one group</w:t>
      </w:r>
      <w:r>
        <w:t xml:space="preserve"> </w:t>
      </w:r>
      <w:r>
        <w:t xml:space="preserve">predicts that group, and would break comparability with everything else</w:t>
      </w:r>
      <w:r>
        <w:t xml:space="preserve"> </w:t>
      </w:r>
      <w:r>
        <w:t xml:space="preserve">reported.</w:t>
      </w:r>
    </w:p>
    <w:p>
      <w:pPr>
        <w:pStyle w:val="BodyText"/>
      </w:pPr>
      <w:r>
        <w:rPr>
          <w:bCs/>
          <w:b/>
        </w:rPr>
        <w:t xml:space="preserve">All three prediction arms are covered.</w:t>
      </w:r>
      <w:r>
        <w:t xml:space="preserve"> </w:t>
      </w:r>
      <w:r>
        <w:t xml:space="preserve">The embedded and feature-vector</w:t>
      </w:r>
      <w:r>
        <w:t xml:space="preserve"> </w:t>
      </w:r>
      <w:r>
        <w:t xml:space="preserve">arms contribute their four classifiers each, and the neighbor-weighted arm</w:t>
      </w:r>
      <w:r>
        <w:t xml:space="preserve"> </w:t>
      </w:r>
      <w:r>
        <w:t xml:space="preserve">contributes its two reported nearest-retrieval weightings, uniform and cosine.</w:t>
      </w:r>
      <w:r>
        <w:t xml:space="preserve"> </w:t>
      </w:r>
      <w:r>
        <w:t xml:space="preserve">Only nearest-retrieval configurations are contrasted across groups. Whether a</w:t>
      </w:r>
      <w:r>
        <w:t xml:space="preserve"> </w:t>
      </w:r>
      <w:r>
        <w:t xml:space="preserve">deliberately uninformative retrieval scheme is evenly uninformative across</w:t>
      </w:r>
      <w:r>
        <w:t xml:space="preserve"> </w:t>
      </w:r>
      <w:r>
        <w:t xml:space="preserve">subgroups is not a fairness question, and including the negative controls would</w:t>
      </w:r>
      <w:r>
        <w:t xml:space="preserve"> </w:t>
      </w:r>
      <w:r>
        <w:t xml:space="preserve">inflate the multiplicity burden on the contrasts that are.</w:t>
      </w:r>
    </w:p>
    <w:p>
      <w:pPr>
        <w:pStyle w:val="BodyText"/>
      </w:pPr>
      <w:r>
        <w:rPr>
          <w:bCs/>
          <w:b/>
        </w:rPr>
        <w:t xml:space="preserve">Strata.</w:t>
      </w:r>
      <w:r>
        <w:t xml:space="preserve"> </w:t>
      </w:r>
      <w:r>
        <w:t xml:space="preserve">Six sociodemographic families (sex, race, age band, marital status,</w:t>
      </w:r>
      <w:r>
        <w:t xml:space="preserve"> </w:t>
      </w:r>
      <w:r>
        <w:t xml:space="preserve">smoking status, religion) and two clinical ones (MDD recurrence and severity).</w:t>
      </w:r>
      <w:r>
        <w:t xml:space="preserve"> </w:t>
      </w:r>
      <w:r>
        <w:t xml:space="preserve">Race is collapsed to majority against recorded minority because a</w:t>
      </w:r>
      <w:r>
        <w:t xml:space="preserve"> </w:t>
      </w:r>
      <w:r>
        <w:t xml:space="preserve">level-by-level breakdown is not estimable at 80.0% White/Caucasian. Preferred</w:t>
      </w:r>
      <w:r>
        <w:t xml:space="preserve"> </w:t>
      </w:r>
      <w:r>
        <w:t xml:space="preserve">language is absent by necessity rather than choice: 98.9% of the cohort prefers</w:t>
      </w:r>
      <w:r>
        <w:t xml:space="preserve"> </w:t>
      </w:r>
      <w:r>
        <w:t xml:space="preserve">English, leaving one estimable level and therefore no contrast. A group whose</w:t>
      </w:r>
      <w:r>
        <w:t xml:space="preserve"> </w:t>
      </w:r>
      <w:r>
        <w:t xml:space="preserve">smaller class holds fewer than 20 outcome events is declared not estimable</w:t>
      </w:r>
      <w:r>
        <w:t xml:space="preserve"> </w:t>
      </w:r>
      <w:r>
        <w:t xml:space="preserve">rather than reported.</w:t>
      </w:r>
    </w:p>
    <w:p>
      <w:pPr>
        <w:pStyle w:val="BodyText"/>
      </w:pPr>
      <w:r>
        <w:rPr>
          <w:bCs/>
          <w:b/>
        </w:rPr>
        <w:t xml:space="preserve">Intervals and multiplicity.</w:t>
      </w:r>
      <w:r>
        <w:t xml:space="preserve"> </w:t>
      </w:r>
      <w:r>
        <w:t xml:space="preserve">Within-group intervals are percentile</w:t>
      </w:r>
      <w:r>
        <w:t xml:space="preserve"> </w:t>
      </w:r>
      <w:r>
        <w:t xml:space="preserve">bootstraps over that group’s own patients. Between-group intervals are</w:t>
      </w:r>
      <w:r>
        <w:t xml:space="preserve"> </w:t>
      </w:r>
      <w:r>
        <w:rPr>
          <w:iCs/>
          <w:i/>
        </w:rPr>
        <w:t xml:space="preserve">unpaired</w:t>
      </w:r>
      <w:r>
        <w:t xml:space="preserve"> </w:t>
      </w:r>
      <w:r>
        <w:t xml:space="preserve">bootstraps, because two subgroups are disjoint patient sets and each</w:t>
      </w:r>
      <w:r>
        <w:t xml:space="preserve"> </w:t>
      </w:r>
      <w:r>
        <w:t xml:space="preserve">must be resampled independently, unlike the paired test used for the</w:t>
      </w:r>
      <w:r>
        <w:t xml:space="preserve"> </w:t>
      </w:r>
      <w:r>
        <w:t xml:space="preserve">representation contrasts in main-text Figure 2. Two hundred forty contrasts</w:t>
      </w:r>
      <w:r>
        <w:t xml:space="preserve"> </w:t>
      </w:r>
      <w:r>
        <w:t xml:space="preserve">were computed. At that number, nominally significant results arise from</w:t>
      </w:r>
      <w:r>
        <w:t xml:space="preserve"> </w:t>
      </w:r>
      <w:r>
        <w:t xml:space="preserve">sampling alone, so each contrast carries a two-sided bootstrap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value taken</w:t>
      </w:r>
      <w:r>
        <w:t xml:space="preserve"> </w:t>
      </w:r>
      <w:r>
        <w:t xml:space="preserve">from the same draws, adjusted across the entire reported set by Benjamini-Hochberg,</w:t>
      </w:r>
      <w:r>
        <w:t xml:space="preserve"> </w:t>
      </w:r>
      <w:r>
        <w:t xml:space="preserve">controlling the false discovery rate at 5%. The adjusted value is what</w:t>
      </w:r>
      <w:r>
        <w:t xml:space="preserve"> </w:t>
      </w:r>
      <w:r>
        <w:t xml:space="preserve">we interpret. The reported set is the 240 contrasts this paper describes, not</w:t>
      </w:r>
      <w:r>
        <w:t xml:space="preserve"> </w:t>
      </w:r>
      <w:r>
        <w:t xml:space="preserve">the 288 the analysis ran. The two neighbor weightings that left the paper took</w:t>
      </w:r>
      <w:r>
        <w:t xml:space="preserve"> </w:t>
      </w:r>
      <w:r>
        <w:t xml:space="preserve">48 contrasts with them. A Benjamini-Hochberg threshold depends on how many</w:t>
      </w:r>
      <w:r>
        <w:t xml:space="preserve"> </w:t>
      </w:r>
      <w:r>
        <w:t xml:space="preserve">tests it ranks, so dropping them changes every adjusted value.</w:t>
      </w:r>
    </w:p>
    <w:p>
      <w:pPr>
        <w:pStyle w:val="BodyText"/>
      </w:pPr>
      <w:r>
        <w:t xml:space="preserve">Calibration slope is the coefficient of a logistic regression of the outcome on</w:t>
      </w:r>
      <w:r>
        <w:t xml:space="preserve"> </w:t>
      </w:r>
      <w:r>
        <w:t xml:space="preserve">the logit of predicted risk (1.0 is perfect). Calibration-in-the-large is mean</w:t>
      </w:r>
      <w:r>
        <w:t xml:space="preserve"> </w:t>
      </w:r>
      <w:r>
        <w:t xml:space="preserve">predicted risk minus observed rate (0.0 is perfect). Both are computed directly</w:t>
      </w:r>
      <w:r>
        <w:t xml:space="preserve"> </w:t>
      </w:r>
      <w:r>
        <w:t xml:space="preserve">rather than from the binned calibration surface used in main-text Table 3,</w:t>
      </w:r>
      <w:r>
        <w:t xml:space="preserve"> </w:t>
      </w:r>
      <w:r>
        <w:t xml:space="preserve">because a bin-mean fit over a few thousand patients describes the bin grid more</w:t>
      </w:r>
      <w:r>
        <w:t xml:space="preserve"> </w:t>
      </w:r>
      <w:r>
        <w:t xml:space="preserve">than it describes the model.</w:t>
      </w:r>
    </w:p>
    <w:bookmarkEnd w:id="20"/>
    <w:bookmarkStart w:id="21" w:name="s7.2-sociodemographic-strata"/>
    <w:p>
      <w:pPr>
        <w:pStyle w:val="Heading2"/>
      </w:pPr>
      <w:r>
        <w:t xml:space="preserve">S7.2 Sociodemographic strata</w:t>
      </w:r>
    </w:p>
    <w:p>
      <w:pPr>
        <w:pStyle w:val="FirstParagraph"/>
      </w:pPr>
      <w:r>
        <w:rPr>
          <w:bCs/>
          <w:b/>
          <w:iCs/>
          <w:i/>
        </w:rPr>
        <w:t xml:space="preserve">Table S6.</w:t>
      </w:r>
      <w:r>
        <w:rPr>
          <w:iCs/>
          <w:i/>
        </w:rPr>
        <w:t xml:space="preserve"> </w:t>
      </w:r>
      <w:r>
        <w:rPr>
          <w:iCs/>
          <w:i/>
        </w:rPr>
        <w:t xml:space="preserve">Discrimination and calibration by sociodemographic stratum, one</w:t>
      </w:r>
      <w:r>
        <w:rPr>
          <w:iCs/>
          <w:i/>
        </w:rPr>
        <w:t xml:space="preserve"> </w:t>
      </w:r>
      <w:r>
        <w:rPr>
          <w:iCs/>
          <w:i/>
        </w:rPr>
        <w:t xml:space="preserve">representative model per arm, held-out test set. Groups are not disjoint across</w:t>
      </w:r>
      <w:r>
        <w:rPr>
          <w:iCs/>
          <w:i/>
        </w:rPr>
        <w:t xml:space="preserve"> </w:t>
      </w:r>
      <w:r>
        <w:rPr>
          <w:iCs/>
          <w:i/>
        </w:rPr>
        <w:t xml:space="preserve">families: every patient with a recorded sex appears in one sex row and every</w:t>
      </w:r>
      <w:r>
        <w:rPr>
          <w:iCs/>
          <w:i/>
        </w:rPr>
        <w:t xml:space="preserve"> </w:t>
      </w:r>
      <w:r>
        <w:rPr>
          <w:iCs/>
          <w:i/>
        </w:rPr>
        <w:t xml:space="preserve">patient with a recorded race in one race row.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792"/>
        <w:gridCol w:w="1056"/>
        <w:gridCol w:w="1056"/>
        <w:gridCol w:w="1056"/>
        <w:gridCol w:w="1056"/>
      </w:tblGrid>
      <w:tr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TRD+</w:t>
            </w:r>
          </w:p>
        </w:tc>
        <w:tc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p>
            <w:pPr>
              <w:pStyle w:val="Compact"/>
              <w:jc w:val="right"/>
            </w:pPr>
            <w:r>
              <w:t xml:space="preserve">ROC AUC (95% CI)</w:t>
            </w:r>
          </w:p>
        </w:tc>
        <w:tc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p>
            <w:pPr>
              <w:pStyle w:val="Compact"/>
              <w:jc w:val="right"/>
            </w:pPr>
            <w:r>
              <w:t xml:space="preserve">Calibration slope</w:t>
            </w:r>
          </w:p>
        </w:tc>
        <w:tc>
          <w:p>
            <w:pPr>
              <w:pStyle w:val="Compact"/>
              <w:jc w:val="right"/>
            </w:pPr>
            <w:r>
              <w:t xml:space="preserve">Calibration-in-the-large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held-out patients</w:t>
            </w:r>
          </w:p>
        </w:tc>
        <w:tc>
          <w:p>
            <w:pPr>
              <w:pStyle w:val="Compact"/>
              <w:jc w:val="right"/>
            </w:pPr>
            <w:r>
              <w:t xml:space="preserve">8,516</w:t>
            </w:r>
          </w:p>
        </w:tc>
        <w:tc>
          <w:p>
            <w:pPr>
              <w:pStyle w:val="Compact"/>
              <w:jc w:val="right"/>
            </w:pPr>
            <w:r>
              <w:t xml:space="preserve">1,491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0.657 (0.643–0.672)</w:t>
            </w:r>
          </w:p>
        </w:tc>
        <w:tc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p>
            <w:pPr>
              <w:pStyle w:val="Compact"/>
              <w:jc w:val="right"/>
            </w:pPr>
            <w:r>
              <w:t xml:space="preserve">+0.000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held-out patients</w:t>
            </w:r>
          </w:p>
        </w:tc>
        <w:tc>
          <w:p>
            <w:pPr>
              <w:pStyle w:val="Compact"/>
              <w:jc w:val="right"/>
            </w:pPr>
            <w:r>
              <w:t xml:space="preserve">8,516</w:t>
            </w:r>
          </w:p>
        </w:tc>
        <w:tc>
          <w:p>
            <w:pPr>
              <w:pStyle w:val="Compact"/>
              <w:jc w:val="right"/>
            </w:pPr>
            <w:r>
              <w:t xml:space="preserve">1,491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0.629 (0.613–0.644)</w:t>
            </w:r>
          </w:p>
        </w:tc>
        <w:tc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p>
            <w:pPr>
              <w:pStyle w:val="Compact"/>
              <w:jc w:val="right"/>
            </w:pPr>
            <w:r>
              <w:t xml:space="preserve">-0.000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held-out patients</w:t>
            </w:r>
          </w:p>
        </w:tc>
        <w:tc>
          <w:p>
            <w:pPr>
              <w:pStyle w:val="Compact"/>
              <w:jc w:val="right"/>
            </w:pPr>
            <w:r>
              <w:t xml:space="preserve">8,516</w:t>
            </w:r>
          </w:p>
        </w:tc>
        <w:tc>
          <w:p>
            <w:pPr>
              <w:pStyle w:val="Compact"/>
              <w:jc w:val="right"/>
            </w:pPr>
            <w:r>
              <w:t xml:space="preserve">1,491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0.594 (0.578–0.610)</w:t>
            </w:r>
          </w:p>
        </w:tc>
        <w:tc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p>
            <w:pPr>
              <w:pStyle w:val="Compact"/>
              <w:jc w:val="right"/>
            </w:pPr>
            <w:r>
              <w:t xml:space="preserve">-0.007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p>
            <w:pPr>
              <w:pStyle w:val="Compact"/>
              <w:jc w:val="right"/>
            </w:pPr>
            <w:r>
              <w:t xml:space="preserve">2,347</w:t>
            </w:r>
          </w:p>
        </w:tc>
        <w:tc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0.653 (0.622–0.682)</w:t>
            </w:r>
          </w:p>
        </w:tc>
        <w:tc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p>
            <w:pPr>
              <w:pStyle w:val="Compact"/>
              <w:jc w:val="right"/>
            </w:pPr>
            <w:r>
              <w:t xml:space="preserve">-0.003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p>
            <w:pPr>
              <w:pStyle w:val="Compact"/>
              <w:jc w:val="right"/>
            </w:pPr>
            <w:r>
              <w:t xml:space="preserve">2,347</w:t>
            </w:r>
          </w:p>
        </w:tc>
        <w:tc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0.626 (0.595–0.655)</w:t>
            </w:r>
          </w:p>
        </w:tc>
        <w:tc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p>
            <w:pPr>
              <w:pStyle w:val="Compact"/>
              <w:jc w:val="right"/>
            </w:pPr>
            <w:r>
              <w:t xml:space="preserve">-0.003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p>
            <w:pPr>
              <w:pStyle w:val="Compact"/>
              <w:jc w:val="right"/>
            </w:pPr>
            <w:r>
              <w:t xml:space="preserve">2,347</w:t>
            </w:r>
          </w:p>
        </w:tc>
        <w:tc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0.595 (0.563–0.627)</w:t>
            </w:r>
          </w:p>
        </w:tc>
        <w:tc>
          <w:p>
            <w:pPr>
              <w:pStyle w:val="Compact"/>
              <w:jc w:val="right"/>
            </w:pPr>
            <w:r>
              <w:t xml:space="preserve">0.135</w:t>
            </w:r>
          </w:p>
        </w:tc>
        <w:tc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p>
            <w:pPr>
              <w:pStyle w:val="Compact"/>
              <w:jc w:val="right"/>
            </w:pPr>
            <w:r>
              <w:t xml:space="preserve">-0.005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p>
            <w:pPr>
              <w:pStyle w:val="Compact"/>
              <w:jc w:val="right"/>
            </w:pPr>
            <w:r>
              <w:t xml:space="preserve">6,168</w:t>
            </w:r>
          </w:p>
        </w:tc>
        <w:tc>
          <w:p>
            <w:pPr>
              <w:pStyle w:val="Compact"/>
              <w:jc w:val="right"/>
            </w:pPr>
            <w:r>
              <w:t xml:space="preserve">1,105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0.658 (0.641–0.675)</w:t>
            </w:r>
          </w:p>
        </w:tc>
        <w:tc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p>
            <w:pPr>
              <w:pStyle w:val="Compact"/>
              <w:jc w:val="right"/>
            </w:pPr>
            <w:r>
              <w:t xml:space="preserve">+0.002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p>
            <w:pPr>
              <w:pStyle w:val="Compact"/>
              <w:jc w:val="right"/>
            </w:pPr>
            <w:r>
              <w:t xml:space="preserve">6,168</w:t>
            </w:r>
          </w:p>
        </w:tc>
        <w:tc>
          <w:p>
            <w:pPr>
              <w:pStyle w:val="Compact"/>
              <w:jc w:val="right"/>
            </w:pPr>
            <w:r>
              <w:t xml:space="preserve">1,105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0.630 (0.612–0.648)</w:t>
            </w:r>
          </w:p>
        </w:tc>
        <w:tc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p>
            <w:pPr>
              <w:pStyle w:val="Compact"/>
              <w:jc w:val="right"/>
            </w:pPr>
            <w:r>
              <w:t xml:space="preserve">6,168</w:t>
            </w:r>
          </w:p>
        </w:tc>
        <w:tc>
          <w:p>
            <w:pPr>
              <w:pStyle w:val="Compact"/>
              <w:jc w:val="right"/>
            </w:pPr>
            <w:r>
              <w:t xml:space="preserve">1,105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0.592 (0.574–0.611)</w:t>
            </w:r>
          </w:p>
        </w:tc>
        <w:tc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p>
            <w:pPr>
              <w:pStyle w:val="Compact"/>
              <w:jc w:val="right"/>
            </w:pPr>
            <w:r>
              <w:t xml:space="preserve">-0.008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White/Caucasian</w:t>
            </w:r>
          </w:p>
        </w:tc>
        <w:tc>
          <w:p>
            <w:pPr>
              <w:pStyle w:val="Compact"/>
              <w:jc w:val="right"/>
            </w:pPr>
            <w:r>
              <w:t xml:space="preserve">6,835</w:t>
            </w:r>
          </w:p>
        </w:tc>
        <w:tc>
          <w:p>
            <w:pPr>
              <w:pStyle w:val="Compact"/>
              <w:jc w:val="right"/>
            </w:pPr>
            <w:r>
              <w:t xml:space="preserve">1,181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0.657 (0.640–0.674)</w:t>
            </w:r>
          </w:p>
        </w:tc>
        <w:tc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p>
            <w:pPr>
              <w:pStyle w:val="Compact"/>
              <w:jc w:val="right"/>
            </w:pPr>
            <w:r>
              <w:t xml:space="preserve">+0.002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White/Caucasian</w:t>
            </w:r>
          </w:p>
        </w:tc>
        <w:tc>
          <w:p>
            <w:pPr>
              <w:pStyle w:val="Compact"/>
              <w:jc w:val="right"/>
            </w:pPr>
            <w:r>
              <w:t xml:space="preserve">6,835</w:t>
            </w:r>
          </w:p>
        </w:tc>
        <w:tc>
          <w:p>
            <w:pPr>
              <w:pStyle w:val="Compact"/>
              <w:jc w:val="right"/>
            </w:pPr>
            <w:r>
              <w:t xml:space="preserve">1,181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0.633 (0.615–0.652)</w:t>
            </w:r>
          </w:p>
        </w:tc>
        <w:tc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White/Caucasian</w:t>
            </w:r>
          </w:p>
        </w:tc>
        <w:tc>
          <w:p>
            <w:pPr>
              <w:pStyle w:val="Compact"/>
              <w:jc w:val="right"/>
            </w:pPr>
            <w:r>
              <w:t xml:space="preserve">6,835</w:t>
            </w:r>
          </w:p>
        </w:tc>
        <w:tc>
          <w:p>
            <w:pPr>
              <w:pStyle w:val="Compact"/>
              <w:jc w:val="right"/>
            </w:pPr>
            <w:r>
              <w:t xml:space="preserve">1,181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0.604 (0.585–0.622)</w:t>
            </w:r>
          </w:p>
        </w:tc>
        <w:tc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p>
            <w:pPr>
              <w:pStyle w:val="Compact"/>
              <w:jc w:val="right"/>
            </w:pPr>
            <w:r>
              <w:t xml:space="preserve">-0.007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Non-White (recorded)</w:t>
            </w:r>
          </w:p>
        </w:tc>
        <w:tc>
          <w:p>
            <w:pPr>
              <w:pStyle w:val="Compact"/>
              <w:jc w:val="right"/>
            </w:pPr>
            <w:r>
              <w:t xml:space="preserve">1,631</w:t>
            </w:r>
          </w:p>
        </w:tc>
        <w:tc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0.652 (0.620–0.684)</w:t>
            </w:r>
          </w:p>
        </w:tc>
        <w:tc>
          <w:p>
            <w:pPr>
              <w:pStyle w:val="Compact"/>
              <w:jc w:val="right"/>
            </w:pPr>
            <w:r>
              <w:t xml:space="preserve">0.144</w:t>
            </w:r>
          </w:p>
        </w:tc>
        <w:tc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p>
            <w:pPr>
              <w:pStyle w:val="Compact"/>
              <w:jc w:val="right"/>
            </w:pPr>
            <w:r>
              <w:t xml:space="preserve">-0.004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Non-White (recorded)</w:t>
            </w:r>
          </w:p>
        </w:tc>
        <w:tc>
          <w:p>
            <w:pPr>
              <w:pStyle w:val="Compact"/>
              <w:jc w:val="right"/>
            </w:pPr>
            <w:r>
              <w:t xml:space="preserve">1,631</w:t>
            </w:r>
          </w:p>
        </w:tc>
        <w:tc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0.608 (0.573–0.643)</w:t>
            </w:r>
          </w:p>
        </w:tc>
        <w:tc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p>
            <w:pPr>
              <w:pStyle w:val="Compact"/>
              <w:jc w:val="right"/>
            </w:pPr>
            <w:r>
              <w:t xml:space="preserve">-0.004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Non-White (recorded)</w:t>
            </w:r>
          </w:p>
        </w:tc>
        <w:tc>
          <w:p>
            <w:pPr>
              <w:pStyle w:val="Compact"/>
              <w:jc w:val="right"/>
            </w:pPr>
            <w:r>
              <w:t xml:space="preserve">1,631</w:t>
            </w:r>
          </w:p>
        </w:tc>
        <w:tc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0.551 (0.515–0.588)</w:t>
            </w:r>
          </w:p>
        </w:tc>
        <w:tc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p>
            <w:pPr>
              <w:pStyle w:val="Compact"/>
              <w:jc w:val="right"/>
            </w:pPr>
            <w:r>
              <w:t xml:space="preserve">-0.006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Race not recorded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Race not recorded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Race not recorded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band: 18-29</w:t>
            </w:r>
          </w:p>
        </w:tc>
        <w:tc>
          <w:p>
            <w:pPr>
              <w:pStyle w:val="Compact"/>
              <w:jc w:val="right"/>
            </w:pPr>
            <w:r>
              <w:t xml:space="preserve">1,085</w:t>
            </w:r>
          </w:p>
        </w:tc>
        <w:tc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0.611 (0.568–0.654)</w:t>
            </w:r>
          </w:p>
        </w:tc>
        <w:tc>
          <w:p>
            <w:pPr>
              <w:pStyle w:val="Compact"/>
              <w:jc w:val="right"/>
            </w:pPr>
            <w:r>
              <w:t xml:space="preserve">0.156</w:t>
            </w:r>
          </w:p>
        </w:tc>
        <w:tc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p>
            <w:pPr>
              <w:pStyle w:val="Compact"/>
              <w:jc w:val="right"/>
            </w:pPr>
            <w:r>
              <w:t xml:space="preserve">+0.003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band: 18-29</w:t>
            </w:r>
          </w:p>
        </w:tc>
        <w:tc>
          <w:p>
            <w:pPr>
              <w:pStyle w:val="Compact"/>
              <w:jc w:val="right"/>
            </w:pPr>
            <w:r>
              <w:t xml:space="preserve">1,085</w:t>
            </w:r>
          </w:p>
        </w:tc>
        <w:tc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0.570 (0.524–0.615)</w:t>
            </w:r>
          </w:p>
        </w:tc>
        <w:tc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p>
            <w:pPr>
              <w:pStyle w:val="Compact"/>
              <w:jc w:val="right"/>
            </w:pPr>
            <w:r>
              <w:t xml:space="preserve">+0.012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band: 18-29</w:t>
            </w:r>
          </w:p>
        </w:tc>
        <w:tc>
          <w:p>
            <w:pPr>
              <w:pStyle w:val="Compact"/>
              <w:jc w:val="right"/>
            </w:pPr>
            <w:r>
              <w:t xml:space="preserve">1,085</w:t>
            </w:r>
          </w:p>
        </w:tc>
        <w:tc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0.546 (0.503–0.589)</w:t>
            </w:r>
          </w:p>
        </w:tc>
        <w:tc>
          <w:p>
            <w:pPr>
              <w:pStyle w:val="Compact"/>
              <w:jc w:val="right"/>
            </w:pPr>
            <w:r>
              <w:t xml:space="preserve">0.162</w:t>
            </w:r>
          </w:p>
        </w:tc>
        <w:tc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p>
            <w:pPr>
              <w:pStyle w:val="Compact"/>
              <w:jc w:val="right"/>
            </w:pPr>
            <w:r>
              <w:t xml:space="preserve">-0.004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band: 30-44</w:t>
            </w:r>
          </w:p>
        </w:tc>
        <w:tc>
          <w:p>
            <w:pPr>
              <w:pStyle w:val="Compact"/>
              <w:jc w:val="right"/>
            </w:pPr>
            <w:r>
              <w:t xml:space="preserve">1,827</w:t>
            </w:r>
          </w:p>
        </w:tc>
        <w:tc>
          <w:p>
            <w:pPr>
              <w:pStyle w:val="Compact"/>
              <w:jc w:val="right"/>
            </w:pPr>
            <w:r>
              <w:t xml:space="preserve">372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0.653 (0.621–0.682)</w:t>
            </w:r>
          </w:p>
        </w:tc>
        <w:tc>
          <w:p>
            <w:pPr>
              <w:pStyle w:val="Compact"/>
              <w:jc w:val="right"/>
            </w:pPr>
            <w:r>
              <w:t xml:space="preserve">0.154</w:t>
            </w:r>
          </w:p>
        </w:tc>
        <w:tc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p>
            <w:pPr>
              <w:pStyle w:val="Compact"/>
              <w:jc w:val="right"/>
            </w:pPr>
            <w:r>
              <w:t xml:space="preserve">-0.002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band: 30-44</w:t>
            </w:r>
          </w:p>
        </w:tc>
        <w:tc>
          <w:p>
            <w:pPr>
              <w:pStyle w:val="Compact"/>
              <w:jc w:val="right"/>
            </w:pPr>
            <w:r>
              <w:t xml:space="preserve">1,827</w:t>
            </w:r>
          </w:p>
        </w:tc>
        <w:tc>
          <w:p>
            <w:pPr>
              <w:pStyle w:val="Compact"/>
              <w:jc w:val="right"/>
            </w:pPr>
            <w:r>
              <w:t xml:space="preserve">372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0.636 (0.605–0.667)</w:t>
            </w:r>
          </w:p>
        </w:tc>
        <w:tc>
          <w:p>
            <w:pPr>
              <w:pStyle w:val="Compact"/>
              <w:jc w:val="right"/>
            </w:pPr>
            <w:r>
              <w:t xml:space="preserve">0.155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-0.002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band: 30-44</w:t>
            </w:r>
          </w:p>
        </w:tc>
        <w:tc>
          <w:p>
            <w:pPr>
              <w:pStyle w:val="Compact"/>
              <w:jc w:val="right"/>
            </w:pPr>
            <w:r>
              <w:t xml:space="preserve">1,827</w:t>
            </w:r>
          </w:p>
        </w:tc>
        <w:tc>
          <w:p>
            <w:pPr>
              <w:pStyle w:val="Compact"/>
              <w:jc w:val="right"/>
            </w:pPr>
            <w:r>
              <w:t xml:space="preserve">372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0.598 (0.566–0.629)</w:t>
            </w:r>
          </w:p>
        </w:tc>
        <w:tc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p>
            <w:pPr>
              <w:pStyle w:val="Compact"/>
              <w:jc w:val="right"/>
            </w:pPr>
            <w:r>
              <w:t xml:space="preserve">0.64</w:t>
            </w:r>
          </w:p>
        </w:tc>
        <w:tc>
          <w:p>
            <w:pPr>
              <w:pStyle w:val="Compact"/>
              <w:jc w:val="right"/>
            </w:pPr>
            <w:r>
              <w:t xml:space="preserve">-0.017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band: 45-64</w:t>
            </w:r>
          </w:p>
        </w:tc>
        <w:tc>
          <w:p>
            <w:pPr>
              <w:pStyle w:val="Compact"/>
              <w:jc w:val="right"/>
            </w:pPr>
            <w:r>
              <w:t xml:space="preserve">2,636</w:t>
            </w:r>
          </w:p>
        </w:tc>
        <w:tc>
          <w:p>
            <w:pPr>
              <w:pStyle w:val="Compact"/>
              <w:jc w:val="right"/>
            </w:pPr>
            <w:r>
              <w:t xml:space="preserve">473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0.652 (0.623–0.679)</w:t>
            </w:r>
          </w:p>
        </w:tc>
        <w:tc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p>
            <w:pPr>
              <w:pStyle w:val="Compact"/>
              <w:jc w:val="right"/>
            </w:pPr>
            <w:r>
              <w:t xml:space="preserve">+0.007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band: 45-64</w:t>
            </w:r>
          </w:p>
        </w:tc>
        <w:tc>
          <w:p>
            <w:pPr>
              <w:pStyle w:val="Compact"/>
              <w:jc w:val="right"/>
            </w:pPr>
            <w:r>
              <w:t xml:space="preserve">2,636</w:t>
            </w:r>
          </w:p>
        </w:tc>
        <w:tc>
          <w:p>
            <w:pPr>
              <w:pStyle w:val="Compact"/>
              <w:jc w:val="right"/>
            </w:pPr>
            <w:r>
              <w:t xml:space="preserve">473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0.607 (0.580–0.636)</w:t>
            </w:r>
          </w:p>
        </w:tc>
        <w:tc>
          <w:p>
            <w:pPr>
              <w:pStyle w:val="Compact"/>
              <w:jc w:val="right"/>
            </w:pPr>
            <w:r>
              <w:t xml:space="preserve">0.143</w:t>
            </w:r>
          </w:p>
        </w:tc>
        <w:tc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p>
            <w:pPr>
              <w:pStyle w:val="Compact"/>
              <w:jc w:val="right"/>
            </w:pPr>
            <w:r>
              <w:t xml:space="preserve">-0.001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band: 45-64</w:t>
            </w:r>
          </w:p>
        </w:tc>
        <w:tc>
          <w:p>
            <w:pPr>
              <w:pStyle w:val="Compact"/>
              <w:jc w:val="right"/>
            </w:pPr>
            <w:r>
              <w:t xml:space="preserve">2,636</w:t>
            </w:r>
          </w:p>
        </w:tc>
        <w:tc>
          <w:p>
            <w:pPr>
              <w:pStyle w:val="Compact"/>
              <w:jc w:val="right"/>
            </w:pPr>
            <w:r>
              <w:t xml:space="preserve">473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0.592 (0.564–0.622)</w:t>
            </w:r>
          </w:p>
        </w:tc>
        <w:tc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p>
            <w:pPr>
              <w:pStyle w:val="Compact"/>
              <w:jc w:val="right"/>
            </w:pPr>
            <w:r>
              <w:t xml:space="preserve">-0.005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band: 65+</w:t>
            </w:r>
          </w:p>
        </w:tc>
        <w:tc>
          <w:p>
            <w:pPr>
              <w:pStyle w:val="Compact"/>
              <w:jc w:val="right"/>
            </w:pPr>
            <w:r>
              <w:t xml:space="preserve">2,968</w:t>
            </w:r>
          </w:p>
        </w:tc>
        <w:tc>
          <w:p>
            <w:pPr>
              <w:pStyle w:val="Compact"/>
              <w:jc w:val="right"/>
            </w:pPr>
            <w:r>
              <w:t xml:space="preserve">428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0.658 (0.630–0.682)</w:t>
            </w:r>
          </w:p>
        </w:tc>
        <w:tc>
          <w:p>
            <w:pPr>
              <w:pStyle w:val="Compact"/>
              <w:jc w:val="right"/>
            </w:pPr>
            <w:r>
              <w:t xml:space="preserve">0.117</w:t>
            </w:r>
          </w:p>
        </w:tc>
        <w:tc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p>
            <w:pPr>
              <w:pStyle w:val="Compact"/>
              <w:jc w:val="right"/>
            </w:pPr>
            <w:r>
              <w:t xml:space="preserve">-0.005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band: 65+</w:t>
            </w:r>
          </w:p>
        </w:tc>
        <w:tc>
          <w:p>
            <w:pPr>
              <w:pStyle w:val="Compact"/>
              <w:jc w:val="right"/>
            </w:pPr>
            <w:r>
              <w:t xml:space="preserve">2,968</w:t>
            </w:r>
          </w:p>
        </w:tc>
        <w:tc>
          <w:p>
            <w:pPr>
              <w:pStyle w:val="Compact"/>
              <w:jc w:val="right"/>
            </w:pPr>
            <w:r>
              <w:t xml:space="preserve">428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0.641 (0.614–0.669)</w:t>
            </w:r>
          </w:p>
        </w:tc>
        <w:tc>
          <w:p>
            <w:pPr>
              <w:pStyle w:val="Compact"/>
              <w:jc w:val="right"/>
            </w:pPr>
            <w:r>
              <w:t xml:space="preserve">0.119</w:t>
            </w:r>
          </w:p>
        </w:tc>
        <w:tc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p>
            <w:pPr>
              <w:pStyle w:val="Compact"/>
              <w:jc w:val="right"/>
            </w:pPr>
            <w:r>
              <w:t xml:space="preserve">-0.003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band: 65+</w:t>
            </w:r>
          </w:p>
        </w:tc>
        <w:tc>
          <w:p>
            <w:pPr>
              <w:pStyle w:val="Compact"/>
              <w:jc w:val="right"/>
            </w:pPr>
            <w:r>
              <w:t xml:space="preserve">2,968</w:t>
            </w:r>
          </w:p>
        </w:tc>
        <w:tc>
          <w:p>
            <w:pPr>
              <w:pStyle w:val="Compact"/>
              <w:jc w:val="right"/>
            </w:pPr>
            <w:r>
              <w:t xml:space="preserve">428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0.576 (0.546–0.608)</w:t>
            </w:r>
          </w:p>
        </w:tc>
        <w:tc>
          <w:p>
            <w:pPr>
              <w:pStyle w:val="Compact"/>
              <w:jc w:val="right"/>
            </w:pPr>
            <w:r>
              <w:t xml:space="preserve">0.122</w:t>
            </w:r>
          </w:p>
        </w:tc>
        <w:tc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p>
            <w:pPr>
              <w:pStyle w:val="Compact"/>
              <w:jc w:val="right"/>
            </w:pPr>
            <w:r>
              <w:t xml:space="preserve">-0.005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status: Divorced</w:t>
            </w:r>
          </w:p>
        </w:tc>
        <w:tc>
          <w:p>
            <w:pPr>
              <w:pStyle w:val="Compact"/>
              <w:jc w:val="right"/>
            </w:pPr>
            <w:r>
              <w:t xml:space="preserve">882</w:t>
            </w:r>
          </w:p>
        </w:tc>
        <w:tc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0.640 (0.593–0.681)</w:t>
            </w:r>
          </w:p>
        </w:tc>
        <w:tc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p>
            <w:pPr>
              <w:pStyle w:val="Compact"/>
              <w:jc w:val="right"/>
            </w:pPr>
            <w:r>
              <w:t xml:space="preserve">-0.046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status: Divorced</w:t>
            </w:r>
          </w:p>
        </w:tc>
        <w:tc>
          <w:p>
            <w:pPr>
              <w:pStyle w:val="Compact"/>
              <w:jc w:val="right"/>
            </w:pPr>
            <w:r>
              <w:t xml:space="preserve">882</w:t>
            </w:r>
          </w:p>
        </w:tc>
        <w:tc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0.607 (0.563–0.649)</w:t>
            </w:r>
          </w:p>
        </w:tc>
        <w:tc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p>
            <w:pPr>
              <w:pStyle w:val="Compact"/>
              <w:jc w:val="right"/>
            </w:pPr>
            <w:r>
              <w:t xml:space="preserve">-0.049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status: Divorced</w:t>
            </w:r>
          </w:p>
        </w:tc>
        <w:tc>
          <w:p>
            <w:pPr>
              <w:pStyle w:val="Compact"/>
              <w:jc w:val="right"/>
            </w:pPr>
            <w:r>
              <w:t xml:space="preserve">882</w:t>
            </w:r>
          </w:p>
        </w:tc>
        <w:tc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0.589 (0.542–0.631)</w:t>
            </w:r>
          </w:p>
        </w:tc>
        <w:tc>
          <w:p>
            <w:pPr>
              <w:pStyle w:val="Compact"/>
              <w:jc w:val="right"/>
            </w:pPr>
            <w:r>
              <w:t xml:space="preserve">0.181</w:t>
            </w:r>
          </w:p>
        </w:tc>
        <w:tc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p>
            <w:pPr>
              <w:pStyle w:val="Compact"/>
              <w:jc w:val="right"/>
            </w:pPr>
            <w:r>
              <w:t xml:space="preserve">-0.065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status: Never Married</w:t>
            </w:r>
          </w:p>
        </w:tc>
        <w:tc>
          <w:p>
            <w:pPr>
              <w:pStyle w:val="Compact"/>
              <w:jc w:val="right"/>
            </w:pPr>
            <w:r>
              <w:t xml:space="preserve">2,364</w:t>
            </w:r>
          </w:p>
        </w:tc>
        <w:tc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0.634 (0.609–0.661)</w:t>
            </w:r>
          </w:p>
        </w:tc>
        <w:tc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p>
            <w:pPr>
              <w:pStyle w:val="Compact"/>
              <w:jc w:val="right"/>
            </w:pPr>
            <w:r>
              <w:t xml:space="preserve">+0.013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status: Never Married</w:t>
            </w:r>
          </w:p>
        </w:tc>
        <w:tc>
          <w:p>
            <w:pPr>
              <w:pStyle w:val="Compact"/>
              <w:jc w:val="right"/>
            </w:pPr>
            <w:r>
              <w:t xml:space="preserve">2,364</w:t>
            </w:r>
          </w:p>
        </w:tc>
        <w:tc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0.598 (0.569–0.627)</w:t>
            </w:r>
          </w:p>
        </w:tc>
        <w:tc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p>
            <w:pPr>
              <w:pStyle w:val="Compact"/>
              <w:jc w:val="right"/>
            </w:pPr>
            <w:r>
              <w:t xml:space="preserve">+0.016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status: Never Married</w:t>
            </w:r>
          </w:p>
        </w:tc>
        <w:tc>
          <w:p>
            <w:pPr>
              <w:pStyle w:val="Compact"/>
              <w:jc w:val="right"/>
            </w:pPr>
            <w:r>
              <w:t xml:space="preserve">2,364</w:t>
            </w:r>
          </w:p>
        </w:tc>
        <w:tc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0.572 (0.543–0.602)</w:t>
            </w:r>
          </w:p>
        </w:tc>
        <w:tc>
          <w:p>
            <w:pPr>
              <w:pStyle w:val="Compact"/>
              <w:jc w:val="right"/>
            </w:pPr>
            <w:r>
              <w:t xml:space="preserve">0.151</w:t>
            </w:r>
          </w:p>
        </w:tc>
        <w:tc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status: Now Married</w:t>
            </w:r>
          </w:p>
        </w:tc>
        <w:tc>
          <w:p>
            <w:pPr>
              <w:pStyle w:val="Compact"/>
              <w:jc w:val="right"/>
            </w:pPr>
            <w:r>
              <w:t xml:space="preserve">4,251</w:t>
            </w:r>
          </w:p>
        </w:tc>
        <w:tc>
          <w:p>
            <w:pPr>
              <w:pStyle w:val="Compact"/>
              <w:jc w:val="right"/>
            </w:pPr>
            <w:r>
              <w:t xml:space="preserve">694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0.670 (0.650–0.690)</w:t>
            </w:r>
          </w:p>
        </w:tc>
        <w:tc>
          <w:p>
            <w:pPr>
              <w:pStyle w:val="Compact"/>
              <w:jc w:val="right"/>
            </w:pPr>
            <w:r>
              <w:t xml:space="preserve">0.129</w:t>
            </w:r>
          </w:p>
        </w:tc>
        <w:tc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p>
            <w:pPr>
              <w:pStyle w:val="Compact"/>
              <w:jc w:val="right"/>
            </w:pPr>
            <w:r>
              <w:t xml:space="preserve">-0.001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status: Now Married</w:t>
            </w:r>
          </w:p>
        </w:tc>
        <w:tc>
          <w:p>
            <w:pPr>
              <w:pStyle w:val="Compact"/>
              <w:jc w:val="right"/>
            </w:pPr>
            <w:r>
              <w:t xml:space="preserve">4,251</w:t>
            </w:r>
          </w:p>
        </w:tc>
        <w:tc>
          <w:p>
            <w:pPr>
              <w:pStyle w:val="Compact"/>
              <w:jc w:val="right"/>
            </w:pPr>
            <w:r>
              <w:t xml:space="preserve">694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0.644 (0.623–0.666)</w:t>
            </w:r>
          </w:p>
        </w:tc>
        <w:tc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p>
            <w:pPr>
              <w:pStyle w:val="Compact"/>
              <w:jc w:val="right"/>
            </w:pPr>
            <w:r>
              <w:t xml:space="preserve">-0.002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status: Now Married</w:t>
            </w:r>
          </w:p>
        </w:tc>
        <w:tc>
          <w:p>
            <w:pPr>
              <w:pStyle w:val="Compact"/>
              <w:jc w:val="right"/>
            </w:pPr>
            <w:r>
              <w:t xml:space="preserve">4,251</w:t>
            </w:r>
          </w:p>
        </w:tc>
        <w:tc>
          <w:p>
            <w:pPr>
              <w:pStyle w:val="Compact"/>
              <w:jc w:val="right"/>
            </w:pPr>
            <w:r>
              <w:t xml:space="preserve">694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0.606 (0.583–0.631)</w:t>
            </w:r>
          </w:p>
        </w:tc>
        <w:tc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p>
            <w:pPr>
              <w:pStyle w:val="Compact"/>
              <w:jc w:val="right"/>
            </w:pPr>
            <w:r>
              <w:t xml:space="preserve">-0.002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status: Separated</w:t>
            </w:r>
          </w:p>
        </w:tc>
        <w:tc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0.518 (0.364–0.673)</w:t>
            </w:r>
          </w:p>
        </w:tc>
        <w:tc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status: Separated</w:t>
            </w:r>
          </w:p>
        </w:tc>
        <w:tc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0.518 (0.357–0.687)</w:t>
            </w:r>
          </w:p>
        </w:tc>
        <w:tc>
          <w:p>
            <w:pPr>
              <w:pStyle w:val="Compact"/>
              <w:jc w:val="right"/>
            </w:pPr>
            <w:r>
              <w:t xml:space="preserve">0.169</w:t>
            </w:r>
          </w:p>
        </w:tc>
        <w:tc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p>
            <w:pPr>
              <w:pStyle w:val="Compact"/>
              <w:jc w:val="right"/>
            </w:pPr>
            <w:r>
              <w:t xml:space="preserve">-0.003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status: Separated</w:t>
            </w:r>
          </w:p>
        </w:tc>
        <w:tc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0.565 (0.407–0.723)</w:t>
            </w:r>
          </w:p>
        </w:tc>
        <w:tc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p>
            <w:pPr>
              <w:pStyle w:val="Compact"/>
              <w:jc w:val="right"/>
            </w:pPr>
            <w:r>
              <w:t xml:space="preserve">-0.007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status: Widowed</w:t>
            </w:r>
          </w:p>
        </w:tc>
        <w:tc>
          <w:p>
            <w:pPr>
              <w:pStyle w:val="Compact"/>
              <w:jc w:val="right"/>
            </w:pPr>
            <w:r>
              <w:t xml:space="preserve">891</w:t>
            </w:r>
          </w:p>
        </w:tc>
        <w:tc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0.654 (0.597–0.708)</w:t>
            </w:r>
          </w:p>
        </w:tc>
        <w:tc>
          <w:p>
            <w:pPr>
              <w:pStyle w:val="Compact"/>
              <w:jc w:val="right"/>
            </w:pPr>
            <w:r>
              <w:t xml:space="preserve">0.111</w:t>
            </w:r>
          </w:p>
        </w:tc>
        <w:tc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p>
            <w:pPr>
              <w:pStyle w:val="Compact"/>
              <w:jc w:val="right"/>
            </w:pPr>
            <w:r>
              <w:t xml:space="preserve">+0.022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status: Widowed</w:t>
            </w:r>
          </w:p>
        </w:tc>
        <w:tc>
          <w:p>
            <w:pPr>
              <w:pStyle w:val="Compact"/>
              <w:jc w:val="right"/>
            </w:pPr>
            <w:r>
              <w:t xml:space="preserve">891</w:t>
            </w:r>
          </w:p>
        </w:tc>
        <w:tc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0.625 (0.572–0.678)</w:t>
            </w:r>
          </w:p>
        </w:tc>
        <w:tc>
          <w:p>
            <w:pPr>
              <w:pStyle w:val="Compact"/>
              <w:jc w:val="right"/>
            </w:pPr>
            <w:r>
              <w:t xml:space="preserve">0.112</w:t>
            </w:r>
          </w:p>
        </w:tc>
        <w:tc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p>
            <w:pPr>
              <w:pStyle w:val="Compact"/>
              <w:jc w:val="right"/>
            </w:pPr>
            <w:r>
              <w:t xml:space="preserve">+0.017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status: Widowed</w:t>
            </w:r>
          </w:p>
        </w:tc>
        <w:tc>
          <w:p>
            <w:pPr>
              <w:pStyle w:val="Compact"/>
              <w:jc w:val="right"/>
            </w:pPr>
            <w:r>
              <w:t xml:space="preserve">891</w:t>
            </w:r>
          </w:p>
        </w:tc>
        <w:tc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0.554 (0.492–0.606)</w:t>
            </w:r>
          </w:p>
        </w:tc>
        <w:tc>
          <w:p>
            <w:pPr>
              <w:pStyle w:val="Compact"/>
              <w:jc w:val="right"/>
            </w:pPr>
            <w:r>
              <w:t xml:space="preserve">0.117</w:t>
            </w:r>
          </w:p>
        </w:tc>
        <w:tc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p>
            <w:pPr>
              <w:pStyle w:val="Compact"/>
              <w:jc w:val="right"/>
            </w:pPr>
            <w:r>
              <w:t xml:space="preserve">+0.006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Smoking status: Current Smoker</w:t>
            </w:r>
          </w:p>
        </w:tc>
        <w:tc>
          <w:p>
            <w:pPr>
              <w:pStyle w:val="Compact"/>
              <w:jc w:val="right"/>
            </w:pPr>
            <w:r>
              <w:t xml:space="preserve">1,126</w:t>
            </w:r>
          </w:p>
        </w:tc>
        <w:tc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0.667 (0.631–0.706)</w:t>
            </w:r>
          </w:p>
        </w:tc>
        <w:tc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p>
            <w:pPr>
              <w:pStyle w:val="Compact"/>
              <w:jc w:val="right"/>
            </w:pPr>
            <w:r>
              <w:t xml:space="preserve">-0.009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Smoking status: Current Smoker</w:t>
            </w:r>
          </w:p>
        </w:tc>
        <w:tc>
          <w:p>
            <w:pPr>
              <w:pStyle w:val="Compact"/>
              <w:jc w:val="right"/>
            </w:pPr>
            <w:r>
              <w:t xml:space="preserve">1,126</w:t>
            </w:r>
          </w:p>
        </w:tc>
        <w:tc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0.617 (0.575–0.660)</w:t>
            </w:r>
          </w:p>
        </w:tc>
        <w:tc>
          <w:p>
            <w:pPr>
              <w:pStyle w:val="Compact"/>
              <w:jc w:val="right"/>
            </w:pPr>
            <w:r>
              <w:t xml:space="preserve">0.162</w:t>
            </w:r>
          </w:p>
        </w:tc>
        <w:tc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p>
            <w:pPr>
              <w:pStyle w:val="Compact"/>
              <w:jc w:val="right"/>
            </w:pPr>
            <w:r>
              <w:t xml:space="preserve">-0.011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Smoking status: Current Smoker</w:t>
            </w:r>
          </w:p>
        </w:tc>
        <w:tc>
          <w:p>
            <w:pPr>
              <w:pStyle w:val="Compact"/>
              <w:jc w:val="right"/>
            </w:pPr>
            <w:r>
              <w:t xml:space="preserve">1,126</w:t>
            </w:r>
          </w:p>
        </w:tc>
        <w:tc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0.613 (0.573–0.652)</w:t>
            </w:r>
          </w:p>
        </w:tc>
        <w:tc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p>
            <w:pPr>
              <w:pStyle w:val="Compact"/>
              <w:jc w:val="right"/>
            </w:pPr>
            <w:r>
              <w:t xml:space="preserve">-0.020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Smoking status: Former Smoker</w:t>
            </w:r>
          </w:p>
        </w:tc>
        <w:tc>
          <w:p>
            <w:pPr>
              <w:pStyle w:val="Compact"/>
              <w:jc w:val="right"/>
            </w:pPr>
            <w:r>
              <w:t xml:space="preserve">2,532</w:t>
            </w:r>
          </w:p>
        </w:tc>
        <w:tc>
          <w:p>
            <w:pPr>
              <w:pStyle w:val="Compact"/>
              <w:jc w:val="right"/>
            </w:pPr>
            <w:r>
              <w:t xml:space="preserve">443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0.663 (0.636–0.690)</w:t>
            </w:r>
          </w:p>
        </w:tc>
        <w:tc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p>
            <w:pPr>
              <w:pStyle w:val="Compact"/>
              <w:jc w:val="right"/>
            </w:pPr>
            <w:r>
              <w:t xml:space="preserve">+0.003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Smoking status: Former Smoker</w:t>
            </w:r>
          </w:p>
        </w:tc>
        <w:tc>
          <w:p>
            <w:pPr>
              <w:pStyle w:val="Compact"/>
              <w:jc w:val="right"/>
            </w:pPr>
            <w:r>
              <w:t xml:space="preserve">2,532</w:t>
            </w:r>
          </w:p>
        </w:tc>
        <w:tc>
          <w:p>
            <w:pPr>
              <w:pStyle w:val="Compact"/>
              <w:jc w:val="right"/>
            </w:pPr>
            <w:r>
              <w:t xml:space="preserve">443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0.633 (0.603–0.660)</w:t>
            </w:r>
          </w:p>
        </w:tc>
        <w:tc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Smoking status: Former Smoker</w:t>
            </w:r>
          </w:p>
        </w:tc>
        <w:tc>
          <w:p>
            <w:pPr>
              <w:pStyle w:val="Compact"/>
              <w:jc w:val="right"/>
            </w:pPr>
            <w:r>
              <w:t xml:space="preserve">2,532</w:t>
            </w:r>
          </w:p>
        </w:tc>
        <w:tc>
          <w:p>
            <w:pPr>
              <w:pStyle w:val="Compact"/>
              <w:jc w:val="right"/>
            </w:pPr>
            <w:r>
              <w:t xml:space="preserve">443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0.578 (0.547–0.607)</w:t>
            </w:r>
          </w:p>
        </w:tc>
        <w:tc>
          <w:p>
            <w:pPr>
              <w:pStyle w:val="Compact"/>
              <w:jc w:val="right"/>
            </w:pPr>
            <w:r>
              <w:t xml:space="preserve">0.143</w:t>
            </w:r>
          </w:p>
        </w:tc>
        <w:tc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p>
            <w:pPr>
              <w:pStyle w:val="Compact"/>
              <w:jc w:val="right"/>
            </w:pPr>
            <w:r>
              <w:t xml:space="preserve">-0.010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Smoking status: Never Smoker</w:t>
            </w:r>
          </w:p>
        </w:tc>
        <w:tc>
          <w:p>
            <w:pPr>
              <w:pStyle w:val="Compact"/>
              <w:jc w:val="right"/>
            </w:pPr>
            <w:r>
              <w:t xml:space="preserve">4,788</w:t>
            </w:r>
          </w:p>
        </w:tc>
        <w:tc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0.646 (0.623–0.665)</w:t>
            </w:r>
          </w:p>
        </w:tc>
        <w:tc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Smoking status: Never Smoker</w:t>
            </w:r>
          </w:p>
        </w:tc>
        <w:tc>
          <w:p>
            <w:pPr>
              <w:pStyle w:val="Compact"/>
              <w:jc w:val="right"/>
            </w:pPr>
            <w:r>
              <w:t xml:space="preserve">4,788</w:t>
            </w:r>
          </w:p>
        </w:tc>
        <w:tc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0.625 (0.603–0.645)</w:t>
            </w:r>
          </w:p>
        </w:tc>
        <w:tc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p>
            <w:pPr>
              <w:pStyle w:val="Compact"/>
              <w:jc w:val="right"/>
            </w:pPr>
            <w:r>
              <w:t xml:space="preserve">+0.002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Smoking status: Never Smoker</w:t>
            </w:r>
          </w:p>
        </w:tc>
        <w:tc>
          <w:p>
            <w:pPr>
              <w:pStyle w:val="Compact"/>
              <w:jc w:val="right"/>
            </w:pPr>
            <w:r>
              <w:t xml:space="preserve">4,788</w:t>
            </w:r>
          </w:p>
        </w:tc>
        <w:tc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0.589 (0.566–0.610)</w:t>
            </w:r>
          </w:p>
        </w:tc>
        <w:tc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p>
            <w:pPr>
              <w:pStyle w:val="Compact"/>
              <w:jc w:val="right"/>
            </w:pPr>
            <w:r>
              <w:t xml:space="preserve">-0.003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Religion: Catholic</w:t>
            </w:r>
          </w:p>
        </w:tc>
        <w:tc>
          <w:p>
            <w:pPr>
              <w:pStyle w:val="Compact"/>
              <w:jc w:val="right"/>
            </w:pPr>
            <w:r>
              <w:t xml:space="preserve">608</w:t>
            </w:r>
          </w:p>
        </w:tc>
        <w:tc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0.695 (0.634–0.754)</w:t>
            </w:r>
          </w:p>
        </w:tc>
        <w:tc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p>
            <w:pPr>
              <w:pStyle w:val="Compact"/>
              <w:jc w:val="right"/>
            </w:pPr>
            <w:r>
              <w:t xml:space="preserve">+0.009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Religion: Catholic</w:t>
            </w:r>
          </w:p>
        </w:tc>
        <w:tc>
          <w:p>
            <w:pPr>
              <w:pStyle w:val="Compact"/>
              <w:jc w:val="right"/>
            </w:pPr>
            <w:r>
              <w:t xml:space="preserve">608</w:t>
            </w:r>
          </w:p>
        </w:tc>
        <w:tc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0.648 (0.587–0.710)</w:t>
            </w:r>
          </w:p>
        </w:tc>
        <w:tc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p>
            <w:pPr>
              <w:pStyle w:val="Compact"/>
              <w:jc w:val="right"/>
            </w:pPr>
            <w:r>
              <w:t xml:space="preserve">+0.002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Religion: Catholic</w:t>
            </w:r>
          </w:p>
        </w:tc>
        <w:tc>
          <w:p>
            <w:pPr>
              <w:pStyle w:val="Compact"/>
              <w:jc w:val="right"/>
            </w:pPr>
            <w:r>
              <w:t xml:space="preserve">608</w:t>
            </w:r>
          </w:p>
        </w:tc>
        <w:tc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0.611 (0.547–0.676)</w:t>
            </w:r>
          </w:p>
        </w:tc>
        <w:tc>
          <w:p>
            <w:pPr>
              <w:pStyle w:val="Compact"/>
              <w:jc w:val="right"/>
            </w:pPr>
            <w:r>
              <w:t xml:space="preserve">0.126</w:t>
            </w:r>
          </w:p>
        </w:tc>
        <w:tc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p>
            <w:pPr>
              <w:pStyle w:val="Compact"/>
              <w:jc w:val="right"/>
            </w:pPr>
            <w:r>
              <w:t xml:space="preserve">+0.009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Religion: Non-Christian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Religion: Non-Christian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Religion: Non-Christian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Religion: Orthodox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Religion: Orthodox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Religion: Orthodox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Religion: Other/Unknown</w:t>
            </w:r>
          </w:p>
        </w:tc>
        <w:tc>
          <w:p>
            <w:pPr>
              <w:pStyle w:val="Compact"/>
              <w:jc w:val="right"/>
            </w:pPr>
            <w:r>
              <w:t xml:space="preserve">759</w:t>
            </w:r>
          </w:p>
        </w:tc>
        <w:tc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0.615 (0.565–0.664)</w:t>
            </w:r>
          </w:p>
        </w:tc>
        <w:tc>
          <w:p>
            <w:pPr>
              <w:pStyle w:val="Compact"/>
              <w:jc w:val="right"/>
            </w:pPr>
            <w:r>
              <w:t xml:space="preserve">0.151</w:t>
            </w:r>
          </w:p>
        </w:tc>
        <w:tc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p>
            <w:pPr>
              <w:pStyle w:val="Compact"/>
              <w:jc w:val="right"/>
            </w:pPr>
            <w:r>
              <w:t xml:space="preserve">-0.013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Religion: Other/Unknown</w:t>
            </w:r>
          </w:p>
        </w:tc>
        <w:tc>
          <w:p>
            <w:pPr>
              <w:pStyle w:val="Compact"/>
              <w:jc w:val="right"/>
            </w:pPr>
            <w:r>
              <w:t xml:space="preserve">759</w:t>
            </w:r>
          </w:p>
        </w:tc>
        <w:tc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0.589 (0.537–0.642)</w:t>
            </w:r>
          </w:p>
        </w:tc>
        <w:tc>
          <w:p>
            <w:pPr>
              <w:pStyle w:val="Compact"/>
              <w:jc w:val="right"/>
            </w:pPr>
            <w:r>
              <w:t xml:space="preserve">0.153</w:t>
            </w:r>
          </w:p>
        </w:tc>
        <w:tc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p>
            <w:pPr>
              <w:pStyle w:val="Compact"/>
              <w:jc w:val="right"/>
            </w:pPr>
            <w:r>
              <w:t xml:space="preserve">-0.010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Religion: Other/Unknown</w:t>
            </w:r>
          </w:p>
        </w:tc>
        <w:tc>
          <w:p>
            <w:pPr>
              <w:pStyle w:val="Compact"/>
              <w:jc w:val="right"/>
            </w:pPr>
            <w:r>
              <w:t xml:space="preserve">759</w:t>
            </w:r>
          </w:p>
        </w:tc>
        <w:tc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0.549 (0.499–0.602)</w:t>
            </w:r>
          </w:p>
        </w:tc>
        <w:tc>
          <w:p>
            <w:pPr>
              <w:pStyle w:val="Compact"/>
              <w:jc w:val="right"/>
            </w:pPr>
            <w:r>
              <w:t xml:space="preserve">0.154</w:t>
            </w:r>
          </w:p>
        </w:tc>
        <w:tc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p>
            <w:pPr>
              <w:pStyle w:val="Compact"/>
              <w:jc w:val="right"/>
            </w:pPr>
            <w:r>
              <w:t xml:space="preserve">-0.016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Religion: Protestant</w:t>
            </w:r>
          </w:p>
        </w:tc>
        <w:tc>
          <w:p>
            <w:pPr>
              <w:pStyle w:val="Compact"/>
              <w:jc w:val="right"/>
            </w:pPr>
            <w:r>
              <w:t xml:space="preserve">4,654</w:t>
            </w:r>
          </w:p>
        </w:tc>
        <w:tc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0.665 (0.644–0.685)</w:t>
            </w:r>
          </w:p>
        </w:tc>
        <w:tc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+0.003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Religion: Protestant</w:t>
            </w:r>
          </w:p>
        </w:tc>
        <w:tc>
          <w:p>
            <w:pPr>
              <w:pStyle w:val="Compact"/>
              <w:jc w:val="right"/>
            </w:pPr>
            <w:r>
              <w:t xml:space="preserve">4,654</w:t>
            </w:r>
          </w:p>
        </w:tc>
        <w:tc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0.642 (0.620–0.662)</w:t>
            </w:r>
          </w:p>
        </w:tc>
        <w:tc>
          <w:p>
            <w:pPr>
              <w:pStyle w:val="Compact"/>
              <w:jc w:val="right"/>
            </w:pPr>
            <w:r>
              <w:t xml:space="preserve">0.135</w:t>
            </w:r>
          </w:p>
        </w:tc>
        <w:tc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p>
            <w:pPr>
              <w:pStyle w:val="Compact"/>
              <w:jc w:val="right"/>
            </w:pPr>
            <w:r>
              <w:t xml:space="preserve">+0.002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Religion: Protestant</w:t>
            </w:r>
          </w:p>
        </w:tc>
        <w:tc>
          <w:p>
            <w:pPr>
              <w:pStyle w:val="Compact"/>
              <w:jc w:val="right"/>
            </w:pPr>
            <w:r>
              <w:t xml:space="preserve">4,654</w:t>
            </w:r>
          </w:p>
        </w:tc>
        <w:tc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0.599 (0.577–0.622)</w:t>
            </w:r>
          </w:p>
        </w:tc>
        <w:tc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p>
            <w:pPr>
              <w:pStyle w:val="Compact"/>
              <w:jc w:val="right"/>
            </w:pPr>
            <w:r>
              <w:t xml:space="preserve">-0.007</w:t>
            </w:r>
          </w:p>
        </w:tc>
      </w:tr>
    </w:tbl>
    <w:bookmarkEnd w:id="21"/>
    <w:bookmarkStart w:id="22" w:name="s7.3-clinical-strata"/>
    <w:p>
      <w:pPr>
        <w:pStyle w:val="Heading2"/>
      </w:pPr>
      <w:r>
        <w:t xml:space="preserve">S7.3 Clinical strata</w:t>
      </w:r>
    </w:p>
    <w:p>
      <w:pPr>
        <w:pStyle w:val="FirstParagraph"/>
      </w:pPr>
      <w:r>
        <w:rPr>
          <w:bCs/>
          <w:b/>
          <w:iCs/>
          <w:i/>
        </w:rPr>
        <w:t xml:space="preserve">Table S7.</w:t>
      </w:r>
      <w:r>
        <w:rPr>
          <w:iCs/>
          <w:i/>
        </w:rPr>
        <w:t xml:space="preserve"> </w:t>
      </w:r>
      <w:r>
        <w:rPr>
          <w:iCs/>
          <w:i/>
        </w:rPr>
        <w:t xml:space="preserve">Discrimination and calibration by recorded depression</w:t>
      </w:r>
      <w:r>
        <w:rPr>
          <w:iCs/>
          <w:i/>
        </w:rPr>
        <w:t xml:space="preserve"> </w:t>
      </w:r>
      <w:r>
        <w:rPr>
          <w:iCs/>
          <w:i/>
        </w:rPr>
        <w:t xml:space="preserve">phenotype, one representative model per arm.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792"/>
        <w:gridCol w:w="1056"/>
        <w:gridCol w:w="1056"/>
        <w:gridCol w:w="1056"/>
        <w:gridCol w:w="1056"/>
      </w:tblGrid>
      <w:tr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TRD+</w:t>
            </w:r>
          </w:p>
        </w:tc>
        <w:tc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p>
            <w:pPr>
              <w:pStyle w:val="Compact"/>
              <w:jc w:val="right"/>
            </w:pPr>
            <w:r>
              <w:t xml:space="preserve">ROC AUC (95% CI)</w:t>
            </w:r>
          </w:p>
        </w:tc>
        <w:tc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p>
            <w:pPr>
              <w:pStyle w:val="Compact"/>
              <w:jc w:val="right"/>
            </w:pPr>
            <w:r>
              <w:t xml:space="preserve">Calibration slope</w:t>
            </w:r>
          </w:p>
        </w:tc>
        <w:tc>
          <w:p>
            <w:pPr>
              <w:pStyle w:val="Compact"/>
              <w:jc w:val="right"/>
            </w:pPr>
            <w:r>
              <w:t xml:space="preserve">Calibration-in-the-large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Mild</w:t>
            </w:r>
          </w:p>
        </w:tc>
        <w:tc>
          <w:p>
            <w:pPr>
              <w:pStyle w:val="Compact"/>
              <w:jc w:val="right"/>
            </w:pPr>
            <w:r>
              <w:t xml:space="preserve">633</w:t>
            </w:r>
          </w:p>
        </w:tc>
        <w:tc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0.683 (0.624–0.742)</w:t>
            </w:r>
          </w:p>
        </w:tc>
        <w:tc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p>
            <w:pPr>
              <w:pStyle w:val="Compact"/>
              <w:jc w:val="right"/>
            </w:pPr>
            <w:r>
              <w:t xml:space="preserve">-0.020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Mild</w:t>
            </w:r>
          </w:p>
        </w:tc>
        <w:tc>
          <w:p>
            <w:pPr>
              <w:pStyle w:val="Compact"/>
              <w:jc w:val="right"/>
            </w:pPr>
            <w:r>
              <w:t xml:space="preserve">633</w:t>
            </w:r>
          </w:p>
        </w:tc>
        <w:tc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0.607 (0.547–0.667)</w:t>
            </w:r>
          </w:p>
        </w:tc>
        <w:tc>
          <w:p>
            <w:pPr>
              <w:pStyle w:val="Compact"/>
              <w:jc w:val="right"/>
            </w:pPr>
            <w:r>
              <w:t xml:space="preserve">0.135</w:t>
            </w:r>
          </w:p>
        </w:tc>
        <w:tc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p>
            <w:pPr>
              <w:pStyle w:val="Compact"/>
              <w:jc w:val="right"/>
            </w:pPr>
            <w:r>
              <w:t xml:space="preserve">-0.018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Mild</w:t>
            </w:r>
          </w:p>
        </w:tc>
        <w:tc>
          <w:p>
            <w:pPr>
              <w:pStyle w:val="Compact"/>
              <w:jc w:val="right"/>
            </w:pPr>
            <w:r>
              <w:t xml:space="preserve">633</w:t>
            </w:r>
          </w:p>
        </w:tc>
        <w:tc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0.531 (0.475–0.594)</w:t>
            </w:r>
          </w:p>
        </w:tc>
        <w:tc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p>
            <w:pPr>
              <w:pStyle w:val="Compact"/>
              <w:jc w:val="right"/>
            </w:pPr>
            <w:r>
              <w:t xml:space="preserve">-0.020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Moderate</w:t>
            </w:r>
          </w:p>
        </w:tc>
        <w:tc>
          <w:p>
            <w:pPr>
              <w:pStyle w:val="Compact"/>
              <w:jc w:val="right"/>
            </w:pPr>
            <w:r>
              <w:t xml:space="preserve">1,426</w:t>
            </w:r>
          </w:p>
        </w:tc>
        <w:tc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0.652 (0.618–0.687)</w:t>
            </w:r>
          </w:p>
        </w:tc>
        <w:tc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p>
            <w:pPr>
              <w:pStyle w:val="Compact"/>
              <w:jc w:val="right"/>
            </w:pPr>
            <w:r>
              <w:t xml:space="preserve">+0.003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Moderate</w:t>
            </w:r>
          </w:p>
        </w:tc>
        <w:tc>
          <w:p>
            <w:pPr>
              <w:pStyle w:val="Compact"/>
              <w:jc w:val="right"/>
            </w:pPr>
            <w:r>
              <w:t xml:space="preserve">1,426</w:t>
            </w:r>
          </w:p>
        </w:tc>
        <w:tc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0.634 (0.599–0.670)</w:t>
            </w:r>
          </w:p>
        </w:tc>
        <w:tc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Moderate</w:t>
            </w:r>
          </w:p>
        </w:tc>
        <w:tc>
          <w:p>
            <w:pPr>
              <w:pStyle w:val="Compact"/>
              <w:jc w:val="right"/>
            </w:pPr>
            <w:r>
              <w:t xml:space="preserve">1,426</w:t>
            </w:r>
          </w:p>
        </w:tc>
        <w:tc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0.587 (0.548–0.624)</w:t>
            </w:r>
          </w:p>
        </w:tc>
        <w:tc>
          <w:p>
            <w:pPr>
              <w:pStyle w:val="Compact"/>
              <w:jc w:val="right"/>
            </w:pPr>
            <w:r>
              <w:t xml:space="preserve">0.146</w:t>
            </w:r>
          </w:p>
        </w:tc>
        <w:tc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p>
            <w:pPr>
              <w:pStyle w:val="Compact"/>
              <w:jc w:val="right"/>
            </w:pPr>
            <w:r>
              <w:t xml:space="preserve">-0.003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Psychotic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Psychotic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Psychotic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Remission</w:t>
            </w:r>
          </w:p>
        </w:tc>
        <w:tc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Remission</w:t>
            </w:r>
          </w:p>
        </w:tc>
        <w:tc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Remission</w:t>
            </w:r>
          </w:p>
        </w:tc>
        <w:tc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Severe</w:t>
            </w:r>
          </w:p>
        </w:tc>
        <w:tc>
          <w:p>
            <w:pPr>
              <w:pStyle w:val="Compact"/>
              <w:jc w:val="right"/>
            </w:pPr>
            <w:r>
              <w:t xml:space="preserve">468</w:t>
            </w:r>
          </w:p>
        </w:tc>
        <w:tc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0.700 (0.648–0.749)</w:t>
            </w:r>
          </w:p>
        </w:tc>
        <w:tc>
          <w:p>
            <w:pPr>
              <w:pStyle w:val="Compact"/>
              <w:jc w:val="right"/>
            </w:pPr>
            <w:r>
              <w:t xml:space="preserve">0.187</w:t>
            </w:r>
          </w:p>
        </w:tc>
        <w:tc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p>
            <w:pPr>
              <w:pStyle w:val="Compact"/>
              <w:jc w:val="right"/>
            </w:pPr>
            <w:r>
              <w:t xml:space="preserve">+0.029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Severe</w:t>
            </w:r>
          </w:p>
        </w:tc>
        <w:tc>
          <w:p>
            <w:pPr>
              <w:pStyle w:val="Compact"/>
              <w:jc w:val="right"/>
            </w:pPr>
            <w:r>
              <w:t xml:space="preserve">468</w:t>
            </w:r>
          </w:p>
        </w:tc>
        <w:tc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0.636 (0.578–0.690)</w:t>
            </w:r>
          </w:p>
        </w:tc>
        <w:tc>
          <w:p>
            <w:pPr>
              <w:pStyle w:val="Compact"/>
              <w:jc w:val="right"/>
            </w:pPr>
            <w:r>
              <w:t xml:space="preserve">0.197</w:t>
            </w:r>
          </w:p>
        </w:tc>
        <w:tc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p>
            <w:pPr>
              <w:pStyle w:val="Compact"/>
              <w:jc w:val="right"/>
            </w:pPr>
            <w:r>
              <w:t xml:space="preserve">+0.029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Severe</w:t>
            </w:r>
          </w:p>
        </w:tc>
        <w:tc>
          <w:p>
            <w:pPr>
              <w:pStyle w:val="Compact"/>
              <w:jc w:val="right"/>
            </w:pPr>
            <w:r>
              <w:t xml:space="preserve">468</w:t>
            </w:r>
          </w:p>
        </w:tc>
        <w:tc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0.665 (0.611–0.718)</w:t>
            </w:r>
          </w:p>
        </w:tc>
        <w:tc>
          <w:p>
            <w:pPr>
              <w:pStyle w:val="Compact"/>
              <w:jc w:val="right"/>
            </w:pPr>
            <w:r>
              <w:t xml:space="preserve">0.194</w:t>
            </w:r>
          </w:p>
        </w:tc>
        <w:tc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p>
            <w:pPr>
              <w:pStyle w:val="Compact"/>
              <w:jc w:val="right"/>
            </w:pPr>
            <w:r>
              <w:t xml:space="preserve">+0.012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Unspecified</w:t>
            </w:r>
          </w:p>
        </w:tc>
        <w:tc>
          <w:p>
            <w:pPr>
              <w:pStyle w:val="Compact"/>
              <w:jc w:val="right"/>
            </w:pPr>
            <w:r>
              <w:t xml:space="preserve">5,828</w:t>
            </w:r>
          </w:p>
        </w:tc>
        <w:tc>
          <w:p>
            <w:pPr>
              <w:pStyle w:val="Compact"/>
              <w:jc w:val="right"/>
            </w:pPr>
            <w:r>
              <w:t xml:space="preserve">967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0.641 (0.621–0.660)</w:t>
            </w:r>
          </w:p>
        </w:tc>
        <w:tc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p>
            <w:pPr>
              <w:pStyle w:val="Compact"/>
              <w:jc w:val="right"/>
            </w:pPr>
            <w:r>
              <w:t xml:space="preserve">-0.000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Unspecified</w:t>
            </w:r>
          </w:p>
        </w:tc>
        <w:tc>
          <w:p>
            <w:pPr>
              <w:pStyle w:val="Compact"/>
              <w:jc w:val="right"/>
            </w:pPr>
            <w:r>
              <w:t xml:space="preserve">5,828</w:t>
            </w:r>
          </w:p>
        </w:tc>
        <w:tc>
          <w:p>
            <w:pPr>
              <w:pStyle w:val="Compact"/>
              <w:jc w:val="right"/>
            </w:pPr>
            <w:r>
              <w:t xml:space="preserve">967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0.615 (0.595–0.634)</w:t>
            </w:r>
          </w:p>
        </w:tc>
        <w:tc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p>
            <w:pPr>
              <w:pStyle w:val="Compact"/>
              <w:jc w:val="right"/>
            </w:pPr>
            <w:r>
              <w:t xml:space="preserve">-0.001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Unspecified</w:t>
            </w:r>
          </w:p>
        </w:tc>
        <w:tc>
          <w:p>
            <w:pPr>
              <w:pStyle w:val="Compact"/>
              <w:jc w:val="right"/>
            </w:pPr>
            <w:r>
              <w:t xml:space="preserve">5,828</w:t>
            </w:r>
          </w:p>
        </w:tc>
        <w:tc>
          <w:p>
            <w:pPr>
              <w:pStyle w:val="Compact"/>
              <w:jc w:val="right"/>
            </w:pPr>
            <w:r>
              <w:t xml:space="preserve">967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0.578 (0.559–0.598)</w:t>
            </w:r>
          </w:p>
        </w:tc>
        <w:tc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p>
            <w:pPr>
              <w:pStyle w:val="Compact"/>
              <w:jc w:val="right"/>
            </w:pPr>
            <w:r>
              <w:t xml:space="preserve">-0.008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(unrecorded)</w:t>
            </w:r>
          </w:p>
        </w:tc>
        <w:tc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(unrecorded)</w:t>
            </w:r>
          </w:p>
        </w:tc>
        <w:tc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(unrecorded)</w:t>
            </w:r>
          </w:p>
        </w:tc>
        <w:tc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Dysthymia</w:t>
            </w:r>
          </w:p>
        </w:tc>
        <w:tc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0.690 (0.638–0.748)</w:t>
            </w:r>
          </w:p>
        </w:tc>
        <w:tc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p>
            <w:pPr>
              <w:pStyle w:val="Compact"/>
              <w:jc w:val="right"/>
            </w:pPr>
            <w:r>
              <w:t xml:space="preserve">+0.008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Dysthymia</w:t>
            </w:r>
          </w:p>
        </w:tc>
        <w:tc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0.627 (0.565–0.687)</w:t>
            </w:r>
          </w:p>
        </w:tc>
        <w:tc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p>
            <w:pPr>
              <w:pStyle w:val="Compact"/>
              <w:jc w:val="right"/>
            </w:pPr>
            <w:r>
              <w:t xml:space="preserve">+0.010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Dysthymia</w:t>
            </w:r>
          </w:p>
        </w:tc>
        <w:tc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0.592 (0.531–0.655)</w:t>
            </w:r>
          </w:p>
        </w:tc>
        <w:tc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p>
            <w:pPr>
              <w:pStyle w:val="Compact"/>
              <w:jc w:val="right"/>
            </w:pPr>
            <w:r>
              <w:t xml:space="preserve">+0.002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Recurrent</w:t>
            </w:r>
          </w:p>
        </w:tc>
        <w:tc>
          <w:p>
            <w:pPr>
              <w:pStyle w:val="Compact"/>
              <w:jc w:val="right"/>
            </w:pPr>
            <w:r>
              <w:t xml:space="preserve">2,177</w:t>
            </w:r>
          </w:p>
        </w:tc>
        <w:tc>
          <w:p>
            <w:pPr>
              <w:pStyle w:val="Compact"/>
              <w:jc w:val="right"/>
            </w:pPr>
            <w:r>
              <w:t xml:space="preserve">433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0.698 (0.671–0.726)</w:t>
            </w:r>
          </w:p>
        </w:tc>
        <w:tc>
          <w:p>
            <w:pPr>
              <w:pStyle w:val="Compact"/>
              <w:jc w:val="right"/>
            </w:pPr>
            <w:r>
              <w:t xml:space="preserve">0.146</w:t>
            </w:r>
          </w:p>
        </w:tc>
        <w:tc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p>
            <w:pPr>
              <w:pStyle w:val="Compact"/>
              <w:jc w:val="right"/>
            </w:pPr>
            <w:r>
              <w:t xml:space="preserve">-0.000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Recurrent</w:t>
            </w:r>
          </w:p>
        </w:tc>
        <w:tc>
          <w:p>
            <w:pPr>
              <w:pStyle w:val="Compact"/>
              <w:jc w:val="right"/>
            </w:pPr>
            <w:r>
              <w:t xml:space="preserve">2,177</w:t>
            </w:r>
          </w:p>
        </w:tc>
        <w:tc>
          <w:p>
            <w:pPr>
              <w:pStyle w:val="Compact"/>
              <w:jc w:val="right"/>
            </w:pPr>
            <w:r>
              <w:t xml:space="preserve">433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0.676 (0.648–0.703)</w:t>
            </w:r>
          </w:p>
        </w:tc>
        <w:tc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p>
            <w:pPr>
              <w:pStyle w:val="Compact"/>
              <w:jc w:val="right"/>
            </w:pPr>
            <w:r>
              <w:t xml:space="preserve">-0.002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Recurrent</w:t>
            </w:r>
          </w:p>
        </w:tc>
        <w:tc>
          <w:p>
            <w:pPr>
              <w:pStyle w:val="Compact"/>
              <w:jc w:val="right"/>
            </w:pPr>
            <w:r>
              <w:t xml:space="preserve">2,177</w:t>
            </w:r>
          </w:p>
        </w:tc>
        <w:tc>
          <w:p>
            <w:pPr>
              <w:pStyle w:val="Compact"/>
              <w:jc w:val="right"/>
            </w:pPr>
            <w:r>
              <w:t xml:space="preserve">433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0.645 (0.616–0.674)</w:t>
            </w:r>
          </w:p>
        </w:tc>
        <w:tc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p>
            <w:pPr>
              <w:pStyle w:val="Compact"/>
              <w:jc w:val="right"/>
            </w:pPr>
            <w:r>
              <w:t xml:space="preserve">-0.005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Single Episode</w:t>
            </w:r>
          </w:p>
        </w:tc>
        <w:tc>
          <w:p>
            <w:pPr>
              <w:pStyle w:val="Compact"/>
              <w:jc w:val="right"/>
            </w:pPr>
            <w:r>
              <w:t xml:space="preserve">5,723</w:t>
            </w:r>
          </w:p>
        </w:tc>
        <w:tc>
          <w:p>
            <w:pPr>
              <w:pStyle w:val="Compact"/>
              <w:jc w:val="right"/>
            </w:pPr>
            <w:r>
              <w:t xml:space="preserve">954</w:t>
            </w:r>
          </w:p>
        </w:tc>
        <w:tc>
          <w:p>
            <w:pPr>
              <w:pStyle w:val="Compact"/>
              <w:jc w:val="left"/>
            </w:pPr>
            <w:r>
              <w:t xml:space="preserve">Embedded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0.633 (0.612–0.652)</w:t>
            </w:r>
          </w:p>
        </w:tc>
        <w:tc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p>
            <w:pPr>
              <w:pStyle w:val="Compact"/>
              <w:jc w:val="right"/>
            </w:pPr>
            <w:r>
              <w:t xml:space="preserve">+0.000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Single Episode</w:t>
            </w:r>
          </w:p>
        </w:tc>
        <w:tc>
          <w:p>
            <w:pPr>
              <w:pStyle w:val="Compact"/>
              <w:jc w:val="right"/>
            </w:pPr>
            <w:r>
              <w:t xml:space="preserve">5,723</w:t>
            </w:r>
          </w:p>
        </w:tc>
        <w:tc>
          <w:p>
            <w:pPr>
              <w:pStyle w:val="Compact"/>
              <w:jc w:val="right"/>
            </w:pPr>
            <w:r>
              <w:t xml:space="preserve">954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 (logistic regression)</w:t>
            </w:r>
          </w:p>
        </w:tc>
        <w:tc>
          <w:p>
            <w:pPr>
              <w:pStyle w:val="Compact"/>
              <w:jc w:val="right"/>
            </w:pPr>
            <w:r>
              <w:t xml:space="preserve">0.605 (0.584–0.626)</w:t>
            </w:r>
          </w:p>
        </w:tc>
        <w:tc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p>
            <w:pPr>
              <w:pStyle w:val="Compact"/>
              <w:jc w:val="right"/>
            </w:pPr>
            <w:r>
              <w:t xml:space="preserve">-0.000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Single Episode</w:t>
            </w:r>
          </w:p>
        </w:tc>
        <w:tc>
          <w:p>
            <w:pPr>
              <w:pStyle w:val="Compact"/>
              <w:jc w:val="right"/>
            </w:pPr>
            <w:r>
              <w:t xml:space="preserve">5,723</w:t>
            </w:r>
          </w:p>
        </w:tc>
        <w:tc>
          <w:p>
            <w:pPr>
              <w:pStyle w:val="Compact"/>
              <w:jc w:val="right"/>
            </w:pPr>
            <w:r>
              <w:t xml:space="preserve">954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 (nearest, cosine)</w:t>
            </w:r>
          </w:p>
        </w:tc>
        <w:tc>
          <w:p>
            <w:pPr>
              <w:pStyle w:val="Compact"/>
              <w:jc w:val="right"/>
            </w:pPr>
            <w:r>
              <w:t xml:space="preserve">0.565 (0.545–0.585)</w:t>
            </w:r>
          </w:p>
        </w:tc>
        <w:tc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p>
            <w:pPr>
              <w:pStyle w:val="Compact"/>
              <w:jc w:val="right"/>
            </w:pPr>
            <w:r>
              <w:t xml:space="preserve">-0.009</w:t>
            </w:r>
          </w:p>
        </w:tc>
      </w:tr>
    </w:tbl>
    <w:bookmarkEnd w:id="22"/>
    <w:bookmarkStart w:id="24" w:name="s7.4-what-survives-correction"/>
    <w:p>
      <w:pPr>
        <w:pStyle w:val="Heading2"/>
      </w:pPr>
      <w:r>
        <w:t xml:space="preserve">S7.4 What survives correction</w:t>
      </w:r>
    </w:p>
    <w:p>
      <w:pPr>
        <w:pStyle w:val="FirstParagraph"/>
      </w:pPr>
      <w:r>
        <w:t xml:space="preserve">Fifty-eight of the 240 contrasts exclude zero unadjusted, and</w:t>
      </w:r>
      <w:r>
        <w:t xml:space="preserve"> </w:t>
      </w:r>
      <w:r>
        <w:rPr>
          <w:bCs/>
          <w:b/>
        </w:rPr>
        <w:t xml:space="preserve">24 survive</w:t>
      </w:r>
      <w:r>
        <w:rPr>
          <w:bCs/>
          <w:b/>
        </w:rPr>
        <w:t xml:space="preserve"> </w:t>
      </w:r>
      <w:r>
        <w:rPr>
          <w:bCs/>
          <w:b/>
        </w:rPr>
        <w:t xml:space="preserve">Benjamini-Hochberg adjustment</w:t>
      </w:r>
      <w:r>
        <w:t xml:space="preserve">. They are not the ones the analysis was</w:t>
      </w:r>
      <w:r>
        <w:t xml:space="preserve"> </w:t>
      </w:r>
      <w:r>
        <w:t xml:space="preserve">commissioned to look for.</w:t>
      </w:r>
    </w:p>
    <w:p>
      <w:pPr>
        <w:pStyle w:val="BodyText"/>
      </w:pPr>
      <w:r>
        <w:rPr>
          <w:bCs/>
          <w:b/>
          <w:iCs/>
          <w:i/>
        </w:rPr>
        <w:t xml:space="preserve">Table S8.</w:t>
      </w:r>
      <w:r>
        <w:rPr>
          <w:iCs/>
          <w:i/>
        </w:rPr>
        <w:t xml:space="preserve"> </w:t>
      </w:r>
      <w:r>
        <w:rPr>
          <w:iCs/>
          <w:i/>
        </w:rPr>
        <w:t xml:space="preserve">Contrasts surviving Benjamini-Hochberg adjustment across all</w:t>
      </w:r>
      <w:r>
        <w:rPr>
          <w:iCs/>
          <w:i/>
        </w:rPr>
        <w:t xml:space="preserve"> </w:t>
      </w:r>
      <w:r>
        <w:rPr>
          <w:iCs/>
          <w:i/>
        </w:rPr>
        <w:t xml:space="preserve">240 reported comparisons, grouped by contrast and arm.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Models surviving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counts how many of that arm’s contrasted models cleared the threshold, out of</w:t>
      </w:r>
      <w:r>
        <w:rPr>
          <w:iCs/>
          <w:i/>
        </w:rPr>
        <w:t xml:space="preserve"> </w:t>
      </w:r>
      <w:r>
        <w:rPr>
          <w:iCs/>
          <w:i/>
        </w:rPr>
        <w:t xml:space="preserve">four for the two classifier arms and two for the neighbor-weighted arm.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c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p>
            <w:pPr>
              <w:pStyle w:val="Compact"/>
              <w:jc w:val="right"/>
            </w:pPr>
            <w:r>
              <w:t xml:space="preserve">Models surviving</w:t>
            </w:r>
          </w:p>
        </w:tc>
        <w:tc>
          <w:p>
            <w:pPr>
              <w:pStyle w:val="Compact"/>
              <w:jc w:val="right"/>
            </w:pPr>
            <w:r>
              <w:t xml:space="preserve">ΔROC AUC range</w:t>
            </w:r>
          </w:p>
        </w:tc>
        <w:tc>
          <w:p>
            <w:pPr>
              <w:pStyle w:val="Compact"/>
              <w:jc w:val="right"/>
            </w:pPr>
            <w:r>
              <w:t xml:space="preserve">smallest p (BH)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Age: 18-29 vs rest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</w:t>
            </w:r>
          </w:p>
        </w:tc>
        <w:tc>
          <w:p>
            <w:pPr>
              <w:pStyle w:val="Compact"/>
              <w:jc w:val="right"/>
            </w:pPr>
            <w:r>
              <w:t xml:space="preserve">1 of 4</w:t>
            </w:r>
          </w:p>
        </w:tc>
        <w:tc>
          <w:p>
            <w:pPr>
              <w:pStyle w:val="Compact"/>
              <w:jc w:val="right"/>
            </w:pPr>
            <w:r>
              <w:t xml:space="preserve">-0.068</w:t>
            </w:r>
          </w:p>
        </w:tc>
        <w:tc>
          <w:p>
            <w:pPr>
              <w:pStyle w:val="Compact"/>
              <w:jc w:val="right"/>
            </w:pPr>
            <w:r>
              <w:t xml:space="preserve">0.0400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status: Never Married vs rest</w:t>
            </w:r>
          </w:p>
        </w:tc>
        <w:tc>
          <w:p>
            <w:pPr>
              <w:pStyle w:val="Compact"/>
              <w:jc w:val="left"/>
            </w:pPr>
            <w:r>
              <w:t xml:space="preserve">Embedded</w:t>
            </w:r>
          </w:p>
        </w:tc>
        <w:tc>
          <w:p>
            <w:pPr>
              <w:pStyle w:val="Compact"/>
              <w:jc w:val="right"/>
            </w:pPr>
            <w:r>
              <w:t xml:space="preserve">2 of 4</w:t>
            </w:r>
          </w:p>
        </w:tc>
        <w:tc>
          <w:p>
            <w:pPr>
              <w:pStyle w:val="Compact"/>
              <w:jc w:val="right"/>
            </w:pPr>
            <w:r>
              <w:t xml:space="preserve">-0.054 to -0.051</w:t>
            </w:r>
          </w:p>
        </w:tc>
        <w:tc>
          <w:p>
            <w:pPr>
              <w:pStyle w:val="Compact"/>
              <w:jc w:val="right"/>
            </w:pPr>
            <w:r>
              <w:t xml:space="preserve">0.0133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Recurrent vs rest</w:t>
            </w:r>
          </w:p>
        </w:tc>
        <w:tc>
          <w:p>
            <w:pPr>
              <w:pStyle w:val="Compact"/>
              <w:jc w:val="left"/>
            </w:pPr>
            <w:r>
              <w:t xml:space="preserve">Embedded</w:t>
            </w:r>
          </w:p>
        </w:tc>
        <w:tc>
          <w:p>
            <w:pPr>
              <w:pStyle w:val="Compact"/>
              <w:jc w:val="right"/>
            </w:pPr>
            <w:r>
              <w:t xml:space="preserve">4 of 4</w:t>
            </w:r>
          </w:p>
        </w:tc>
        <w:tc>
          <w:p>
            <w:pPr>
              <w:pStyle w:val="Compact"/>
              <w:jc w:val="right"/>
            </w:pPr>
            <w:r>
              <w:t xml:space="preserve">+0.059 to +0.072</w:t>
            </w:r>
          </w:p>
        </w:tc>
        <w:tc>
          <w:p>
            <w:pPr>
              <w:pStyle w:val="Compact"/>
              <w:jc w:val="right"/>
            </w:pPr>
            <w:r>
              <w:t xml:space="preserve">0.0133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Recurrent vs rest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</w:t>
            </w:r>
          </w:p>
        </w:tc>
        <w:tc>
          <w:p>
            <w:pPr>
              <w:pStyle w:val="Compact"/>
              <w:jc w:val="right"/>
            </w:pPr>
            <w:r>
              <w:t xml:space="preserve">4 of 4</w:t>
            </w:r>
          </w:p>
        </w:tc>
        <w:tc>
          <w:p>
            <w:pPr>
              <w:pStyle w:val="Compact"/>
              <w:jc w:val="right"/>
            </w:pPr>
            <w:r>
              <w:t xml:space="preserve">+0.060 to +0.068</w:t>
            </w:r>
          </w:p>
        </w:tc>
        <w:tc>
          <w:p>
            <w:pPr>
              <w:pStyle w:val="Compact"/>
              <w:jc w:val="right"/>
            </w:pPr>
            <w:r>
              <w:t xml:space="preserve">0.0133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Recurrent vs rest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</w:t>
            </w:r>
          </w:p>
        </w:tc>
        <w:tc>
          <w:p>
            <w:pPr>
              <w:pStyle w:val="Compact"/>
              <w:jc w:val="right"/>
            </w:pPr>
            <w:r>
              <w:t xml:space="preserve">2 of 2</w:t>
            </w:r>
          </w:p>
        </w:tc>
        <w:tc>
          <w:p>
            <w:pPr>
              <w:pStyle w:val="Compact"/>
              <w:jc w:val="right"/>
            </w:pPr>
            <w:r>
              <w:t xml:space="preserve">+0.076</w:t>
            </w:r>
          </w:p>
        </w:tc>
        <w:tc>
          <w:p>
            <w:pPr>
              <w:pStyle w:val="Compact"/>
              <w:jc w:val="right"/>
            </w:pPr>
            <w:r>
              <w:t xml:space="preserve">0.0133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Single Episode vs rest</w:t>
            </w:r>
          </w:p>
        </w:tc>
        <w:tc>
          <w:p>
            <w:pPr>
              <w:pStyle w:val="Compact"/>
              <w:jc w:val="left"/>
            </w:pPr>
            <w:r>
              <w:t xml:space="preserve">Embedded</w:t>
            </w:r>
          </w:p>
        </w:tc>
        <w:tc>
          <w:p>
            <w:pPr>
              <w:pStyle w:val="Compact"/>
              <w:jc w:val="right"/>
            </w:pPr>
            <w:r>
              <w:t xml:space="preserve">4 of 4</w:t>
            </w:r>
          </w:p>
        </w:tc>
        <w:tc>
          <w:p>
            <w:pPr>
              <w:pStyle w:val="Compact"/>
              <w:jc w:val="right"/>
            </w:pPr>
            <w:r>
              <w:t xml:space="preserve">-0.071 to -0.065</w:t>
            </w:r>
          </w:p>
        </w:tc>
        <w:tc>
          <w:p>
            <w:pPr>
              <w:pStyle w:val="Compact"/>
              <w:jc w:val="right"/>
            </w:pPr>
            <w:r>
              <w:t xml:space="preserve">0.0133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Single Episode vs rest</w:t>
            </w:r>
          </w:p>
        </w:tc>
        <w:tc>
          <w:p>
            <w:pPr>
              <w:pStyle w:val="Compact"/>
              <w:jc w:val="left"/>
            </w:pPr>
            <w:r>
              <w:t xml:space="preserve">Feature vector</w:t>
            </w:r>
          </w:p>
        </w:tc>
        <w:tc>
          <w:p>
            <w:pPr>
              <w:pStyle w:val="Compact"/>
              <w:jc w:val="right"/>
            </w:pPr>
            <w:r>
              <w:t xml:space="preserve">3 of 4</w:t>
            </w:r>
          </w:p>
        </w:tc>
        <w:tc>
          <w:p>
            <w:pPr>
              <w:pStyle w:val="Compact"/>
              <w:jc w:val="right"/>
            </w:pPr>
            <w:r>
              <w:t xml:space="preserve">-0.064 to -0.056</w:t>
            </w:r>
          </w:p>
        </w:tc>
        <w:tc>
          <w:p>
            <w:pPr>
              <w:pStyle w:val="Compact"/>
              <w:jc w:val="right"/>
            </w:pPr>
            <w:r>
              <w:t xml:space="preserve">0.0253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recurrence: Single Episode vs rest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</w:t>
            </w:r>
          </w:p>
        </w:tc>
        <w:tc>
          <w:p>
            <w:pPr>
              <w:pStyle w:val="Compact"/>
              <w:jc w:val="right"/>
            </w:pPr>
            <w:r>
              <w:t xml:space="preserve">2 of 2</w:t>
            </w:r>
          </w:p>
        </w:tc>
        <w:tc>
          <w:p>
            <w:pPr>
              <w:pStyle w:val="Compact"/>
              <w:jc w:val="right"/>
            </w:pPr>
            <w:r>
              <w:t xml:space="preserve">-0.074 to -0.073</w:t>
            </w:r>
          </w:p>
        </w:tc>
        <w:tc>
          <w:p>
            <w:pPr>
              <w:pStyle w:val="Compact"/>
              <w:jc w:val="right"/>
            </w:pPr>
            <w:r>
              <w:t xml:space="preserve">0.0133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severity: Severe vs rest</w:t>
            </w:r>
          </w:p>
        </w:tc>
        <w:tc>
          <w:p>
            <w:pPr>
              <w:pStyle w:val="Compact"/>
              <w:jc w:val="left"/>
            </w:pPr>
            <w:r>
              <w:t xml:space="preserve">Neighbor-weighted</w:t>
            </w:r>
          </w:p>
        </w:tc>
        <w:tc>
          <w:p>
            <w:pPr>
              <w:pStyle w:val="Compact"/>
              <w:jc w:val="right"/>
            </w:pPr>
            <w:r>
              <w:t xml:space="preserve">2 of 2</w:t>
            </w:r>
          </w:p>
        </w:tc>
        <w:tc>
          <w:p>
            <w:pPr>
              <w:pStyle w:val="Compact"/>
              <w:jc w:val="right"/>
            </w:pPr>
            <w:r>
              <w:t xml:space="preserve">+0.087</w:t>
            </w:r>
          </w:p>
        </w:tc>
        <w:tc>
          <w:p>
            <w:pPr>
              <w:pStyle w:val="Compact"/>
              <w:jc w:val="right"/>
            </w:pPr>
            <w:r>
              <w:t xml:space="preserve">0.0400</w:t>
            </w:r>
          </w:p>
        </w:tc>
      </w:tr>
    </w:tbl>
    <w:p>
      <w:pPr>
        <w:pStyle w:val="BodyText"/>
      </w:pPr>
      <w:r>
        <w:rPr>
          <w:bCs/>
          <w:b/>
        </w:rPr>
        <w:t xml:space="preserve">Sex: no difference anywhere.</w:t>
      </w:r>
      <w:r>
        <w:t xml:space="preserve"> </w:t>
      </w:r>
      <w:r>
        <w:t xml:space="preserve">All ten male-minus-female contrasts include</w:t>
      </w:r>
      <w:r>
        <w:t xml:space="preserve"> </w:t>
      </w:r>
      <w:r>
        <w:t xml:space="preserve">zero, across every arm and model, and the largest absolute difference is 0.012</w:t>
      </w:r>
      <w:r>
        <w:t xml:space="preserve"> </w:t>
      </w:r>
      <w:r>
        <w:t xml:space="preserve">ROC AUC. Nothing here needs qualification.</w:t>
      </w:r>
    </w:p>
    <w:p>
      <w:pPr>
        <w:pStyle w:val="BodyText"/>
      </w:pPr>
      <w:r>
        <w:rPr>
          <w:bCs/>
          <w:b/>
        </w:rPr>
        <w:t xml:space="preserve">Race: consistent in direction, not significant after correction.</w:t>
      </w:r>
      <w:r>
        <w:t xml:space="preserve"> </w:t>
      </w:r>
      <w:r>
        <w:t xml:space="preserve">All ten</w:t>
      </w:r>
      <w:r>
        <w:t xml:space="preserve"> </w:t>
      </w:r>
      <w:r>
        <w:t xml:space="preserve">White-minus-non-White contrasts are positive, from +0.005 to +0.053 ROC AUC,</w:t>
      </w:r>
      <w:r>
        <w:t xml:space="preserve"> </w:t>
      </w:r>
      <w:r>
        <w:t xml:space="preserve">and five exclude zero unadjusted, including both neighbor-weighted</w:t>
      </w:r>
      <w:r>
        <w:t xml:space="preserve"> </w:t>
      </w:r>
      <w:r>
        <w:t xml:space="preserve">configurations, which is a structurally different predictor reproducing the</w:t>
      </w:r>
      <w:r>
        <w:t xml:space="preserve"> </w:t>
      </w:r>
      <w:r>
        <w:t xml:space="preserve">same sign. None survives adjustment, and the smallest adjusted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is .11.</w:t>
      </w:r>
      <w:r>
        <w:t xml:space="preserve"> </w:t>
      </w:r>
      <w:r>
        <w:t xml:space="preserve">Calibration moves the same way in the feature-vector arm, where the slope among</w:t>
      </w:r>
      <w:r>
        <w:t xml:space="preserve"> </w:t>
      </w:r>
      <w:r>
        <w:t xml:space="preserve">non-White patients is 0.79 against 0.98 among White patients, while the</w:t>
      </w:r>
      <w:r>
        <w:t xml:space="preserve"> </w:t>
      </w:r>
      <w:r>
        <w:t xml:space="preserve">embedded arm holds at 0.95 against 0.97.</w:t>
      </w:r>
    </w:p>
    <w:p>
      <w:pPr>
        <w:pStyle w:val="BodyText"/>
      </w:pPr>
      <w:r>
        <w:t xml:space="preserve">The correct reading is neither</w:t>
      </w:r>
      <w:r>
        <w:t xml:space="preserve"> </w:t>
      </w:r>
      <w:r>
        <w:t xml:space="preserve">“</w:t>
      </w:r>
      <w:r>
        <w:t xml:space="preserve">no difference</w:t>
      </w:r>
      <w:r>
        <w:t xml:space="preserve">”</w:t>
      </w:r>
      <w:r>
        <w:t xml:space="preserve"> </w:t>
      </w:r>
      <w:r>
        <w:t xml:space="preserve">nor</w:t>
      </w:r>
      <w:r>
        <w:t xml:space="preserve"> </w:t>
      </w:r>
      <w:r>
        <w:t xml:space="preserve">“</w:t>
      </w:r>
      <w:r>
        <w:t xml:space="preserve">a gap of 0.04</w:t>
      </w:r>
      <w:r>
        <w:t xml:space="preserve">”</w:t>
      </w:r>
      <w:r>
        <w:t xml:space="preserve">. This cohort</w:t>
      </w:r>
      <w:r>
        <w:t xml:space="preserve"> </w:t>
      </w:r>
      <w:r>
        <w:t xml:space="preserve">lacks the power to settle it. The minority stratum carries 302 outcome events</w:t>
      </w:r>
      <w:r>
        <w:t xml:space="preserve"> </w:t>
      </w:r>
      <w:r>
        <w:t xml:space="preserve">against 1,181, so its intervals are roughly twice as wide, and a real</w:t>
      </w:r>
      <w:r>
        <w:t xml:space="preserve"> </w:t>
      </w:r>
      <w:r>
        <w:t xml:space="preserve">difference of the size observed could as easily have gone undetected. What the</w:t>
      </w:r>
      <w:r>
        <w:t xml:space="preserve"> </w:t>
      </w:r>
      <w:r>
        <w:t xml:space="preserve">data do show is a sign that is consistent across ten contrasts and three</w:t>
      </w:r>
      <w:r>
        <w:t xml:space="preserve"> </w:t>
      </w:r>
      <w:r>
        <w:t xml:space="preserve">independent predictor families, which is not the shape sampling noise usually</w:t>
      </w:r>
      <w:r>
        <w:t xml:space="preserve"> </w:t>
      </w:r>
      <w:r>
        <w:t xml:space="preserve">takes, and a calibration deficit concentrated in one representation. Both are</w:t>
      </w:r>
      <w:r>
        <w:t xml:space="preserve"> </w:t>
      </w:r>
      <w:r>
        <w:t xml:space="preserve">reported for that reason, and neither is claimed as established.</w:t>
      </w:r>
    </w:p>
    <w:p>
      <w:pPr>
        <w:pStyle w:val="BodyText"/>
      </w:pPr>
      <w:r>
        <w:rPr>
          <w:bCs/>
          <w:b/>
        </w:rPr>
        <w:t xml:space="preserve">What does survive is how the depression is coded.</w:t>
      </w:r>
      <w:r>
        <w:t xml:space="preserve"> </w:t>
      </w:r>
      <w:r>
        <w:t xml:space="preserve">Twenty-one of the 24</w:t>
      </w:r>
      <w:r>
        <w:t xml:space="preserve"> </w:t>
      </w:r>
      <w:r>
        <w:t xml:space="preserve">surviving contrasts concern MDD recurrence and severity. Discrimination is</w:t>
      </w:r>
      <w:r>
        <w:t xml:space="preserve"> </w:t>
      </w:r>
      <w:r>
        <w:t xml:space="preserve">higher among patients coded with recurrent MDD (+0.059 to +0.076 against the</w:t>
      </w:r>
      <w:r>
        <w:t xml:space="preserve"> </w:t>
      </w:r>
      <w:r>
        <w:t xml:space="preserve">rest) and lower among those coded single-episode (-0.074 to -0.056), in every</w:t>
      </w:r>
      <w:r>
        <w:t xml:space="preserve"> </w:t>
      </w:r>
      <w:r>
        <w:t xml:space="preserve">arm. Severity behaves the same way in the neighbor-weighted arm, where</w:t>
      </w:r>
      <w:r>
        <w:t xml:space="preserve"> </w:t>
      </w:r>
      <w:r>
        <w:t xml:space="preserve">discrimination is higher among patients coded severe (+0.087). The pattern is coherent and is as much about documentation as about phenotype.</w:t>
      </w:r>
      <w:r>
        <w:t xml:space="preserve"> </w:t>
      </w:r>
      <w:r>
        <w:t xml:space="preserve">The models discriminate better where the diagnosis is recorded specifically and</w:t>
      </w:r>
      <w:r>
        <w:t xml:space="preserve"> </w:t>
      </w:r>
      <w:r>
        <w:t xml:space="preserve">worse where the coding is left unspecified, which is the majority of this</w:t>
      </w:r>
      <w:r>
        <w:t xml:space="preserve"> </w:t>
      </w:r>
      <w:r>
        <w:t xml:space="preserve">cohort. Of the 8,516 held-out patients, 5,828 are coded unspecified severity.</w:t>
      </w:r>
    </w:p>
    <w:p>
      <w:pPr>
        <w:pStyle w:val="BodyText"/>
      </w:pPr>
      <w:r>
        <w:rPr>
          <w:bCs/>
          <w:b/>
        </w:rPr>
        <w:t xml:space="preserve">Two sociodemographic contrasts survive</w:t>
      </w:r>
      <w:r>
        <w:t xml:space="preserve">, and both point the same way as the</w:t>
      </w:r>
      <w:r>
        <w:t xml:space="preserve"> </w:t>
      </w:r>
      <w:r>
        <w:t xml:space="preserve">documentation story. Discrimination is lower among patients aged 18-29 than</w:t>
      </w:r>
      <w:r>
        <w:t xml:space="preserve"> </w:t>
      </w:r>
      <w:r>
        <w:t xml:space="preserve">among the rest in the feature-vector arm (-0.068 under XGBoost, adjusted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</w:t>
      </w:r>
      <w:r>
        <w:t xml:space="preserve"> </w:t>
      </w:r>
      <w:r>
        <w:t xml:space="preserve">.04). It is lower among never-married patients in the embedded arm, where two</w:t>
      </w:r>
      <w:r>
        <w:t xml:space="preserve"> </w:t>
      </w:r>
      <w:r>
        <w:t xml:space="preserve">of the four classifiers survive, at -0.054 and -0.051 (adjusted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.01). Younger and never-married patients accumulate</w:t>
      </w:r>
      <w:r>
        <w:t xml:space="preserve"> </w:t>
      </w:r>
      <w:r>
        <w:t xml:space="preserve">less recorded history, which is consistent with thinner records supporting</w:t>
      </w:r>
      <w:r>
        <w:t xml:space="preserve"> </w:t>
      </w:r>
      <w:r>
        <w:t xml:space="preserve">weaker prediction, though this analysis cannot separate that explanation from</w:t>
      </w:r>
      <w:r>
        <w:t xml:space="preserve"> </w:t>
      </w:r>
      <w:r>
        <w:t xml:space="preserve">any other.</w:t>
      </w:r>
    </w:p>
    <w:p>
      <w:pPr>
        <w:pStyle w:val="BodyText"/>
      </w:pPr>
      <w:r>
        <w:drawing>
          <wp:inline>
            <wp:extent cx="5486400" cy="739159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review/subgroups/subgroup_fore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91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Figure S4.</w:t>
      </w:r>
      <w:r>
        <w:rPr>
          <w:iCs/>
          <w:i/>
        </w:rPr>
        <w:t xml:space="preserve"> </w:t>
      </w:r>
      <w:r>
        <w:rPr>
          <w:iCs/>
          <w:i/>
        </w:rPr>
        <w:t xml:space="preserve">Subgroup discrimination across sociodemographic strata, one</w:t>
      </w:r>
      <w:r>
        <w:rPr>
          <w:iCs/>
          <w:i/>
        </w:rPr>
        <w:t xml:space="preserve"> </w:t>
      </w:r>
      <w:r>
        <w:rPr>
          <w:iCs/>
          <w:i/>
        </w:rPr>
        <w:t xml:space="preserve">representative model per arm, with 95% bootstrap confidence intervals. The</w:t>
      </w:r>
      <w:r>
        <w:rPr>
          <w:iCs/>
          <w:i/>
        </w:rPr>
        <w:t xml:space="preserve"> </w:t>
      </w:r>
      <w:r>
        <w:rPr>
          <w:iCs/>
          <w:i/>
        </w:rPr>
        <w:t xml:space="preserve">dotted line marks chance. Strata declared not estimable are omitted.</w:t>
      </w:r>
    </w:p>
    <w:bookmarkEnd w:id="24"/>
    <w:bookmarkEnd w:id="25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2026-09-08T19:38:32Z</dcterms:created>
  <dcterms:modified xsi:type="dcterms:W3CDTF">2026-09-08T19:38:32Z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