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a4fcd9483e9e227c3828f1bba606107f940933"/>
    <w:p>
      <w:pPr>
        <w:pStyle w:val="Heading1"/>
      </w:pPr>
      <w:r>
        <w:t xml:space="preserve">MP review round of 2026-09-02 (verbatim record)</w:t>
      </w:r>
    </w:p>
    <w:p>
      <w:pPr>
        <w:pStyle w:val="FirstParagraph"/>
      </w:pPr>
      <w:r>
        <w:t xml:space="preserve">Delivered as</w:t>
      </w:r>
      <w:r>
        <w:t xml:space="preserve"> </w:t>
      </w:r>
      <w:r>
        <w:rPr>
          <w:rStyle w:val="VerbatimChar"/>
        </w:rPr>
        <w:t xml:space="preserve">feedback/</w:t>
      </w:r>
      <w:r>
        <w:t xml:space="preserve">: a tracked-changes manuscript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manuscript_09.02.2026.docx</w:t>
      </w:r>
      <w:r>
        <w:t xml:space="preserve">, 64 insertions, 75 deletions, 9 comments), two</w:t>
      </w:r>
      <w:r>
        <w:t xml:space="preserve"> </w:t>
      </w:r>
      <w:r>
        <w:t xml:space="preserve">supplied replacement documents (</w:t>
      </w:r>
      <w:r>
        <w:rPr>
          <w:rStyle w:val="VerbatimChar"/>
        </w:rPr>
        <w:t xml:space="preserve">JMIR_Methods_and_Supplement.docx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Integrated_TRD_EHR_Discussion.docx</w:t>
      </w:r>
      <w:r>
        <w:t xml:space="preserve">), and a covering email.</w:t>
      </w:r>
    </w:p>
    <w:bookmarkStart w:id="20" w:name="the-email"/>
    <w:p>
      <w:pPr>
        <w:pStyle w:val="Heading2"/>
      </w:pPr>
      <w:r>
        <w:t xml:space="preserve">The email</w:t>
      </w:r>
    </w:p>
    <w:p>
      <w:pPr>
        <w:pStyle w:val="BlockText"/>
      </w:pPr>
      <w:r>
        <w:t xml:space="preserve">Hi Mikey</w:t>
      </w:r>
    </w:p>
    <w:p>
      <w:pPr>
        <w:pStyle w:val="BlockText"/>
      </w:pPr>
      <w:r>
        <w:t xml:space="preserve">I edited the manuscript and made substantial revisions and suggestions, I</w:t>
      </w:r>
      <w:r>
        <w:t xml:space="preserve"> </w:t>
      </w:r>
      <w:r>
        <w:t xml:space="preserve">also added more literature and changed the discussion. Overall, this is</w:t>
      </w:r>
      <w:r>
        <w:t xml:space="preserve"> </w:t>
      </w:r>
      <w:r>
        <w:t xml:space="preserve">coming along very well. You need to make many sections more concise (and I</w:t>
      </w:r>
      <w:r>
        <w:t xml:space="preserve"> </w:t>
      </w:r>
      <w:r>
        <w:t xml:space="preserve">gave examples). I have also added a revised methods section and a revised</w:t>
      </w:r>
      <w:r>
        <w:t xml:space="preserve"> </w:t>
      </w:r>
      <w:r>
        <w:t xml:space="preserve">discussion section,</w:t>
      </w:r>
    </w:p>
    <w:p>
      <w:pPr>
        <w:pStyle w:val="BlockText"/>
      </w:pPr>
      <w:r>
        <w:t xml:space="preserve">Martin</w:t>
      </w:r>
    </w:p>
    <w:bookmarkEnd w:id="20"/>
    <w:bookmarkStart w:id="21" w:name="the-nine-comments"/>
    <w:p>
      <w:pPr>
        <w:pStyle w:val="Heading2"/>
      </w:pPr>
      <w:r>
        <w:t xml:space="preserve">The nine comments</w:t>
      </w:r>
    </w:p>
    <w:p>
      <w:pPr>
        <w:pStyle w:val="FirstParagraph"/>
      </w:pPr>
      <w:r>
        <w:rPr>
          <w:bCs/>
          <w:b/>
        </w:rPr>
        <w:t xml:space="preserve">[35] Abstract, 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deterministic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(Methods).</w:t>
      </w:r>
      <w:r>
        <w:t xml:space="preserve"> </w:t>
      </w:r>
      <w:r>
        <w:t xml:space="preserve">“</w:t>
      </w:r>
      <w:r>
        <w:t xml:space="preserve">I am not sure what you mean</w:t>
      </w:r>
      <w:r>
        <w:t xml:space="preserve"> </w:t>
      </w:r>
      <w:r>
        <w:t xml:space="preserve">by that term, you had the GPT generate it, I don’t think that counts as</w:t>
      </w:r>
      <w:r>
        <w:t xml:space="preserve"> </w:t>
      </w:r>
      <w:r>
        <w:t xml:space="preserve">deterministic.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[50] Introduction.</w:t>
      </w:r>
      <w:r>
        <w:t xml:space="preserve"> </w:t>
      </w:r>
      <w:r>
        <w:t xml:space="preserve">A block of replacement text plus seven references</w:t>
      </w:r>
      <w:r>
        <w:t xml:space="preserve"> </w:t>
      </w:r>
      <w:r>
        <w:t xml:space="preserve">(Cepeda 2017, Fabbri 2021, Iveson 2026, Liberman 2020, Lage 2022, Lee 2024,</w:t>
      </w:r>
      <w:r>
        <w:t xml:space="preserve"> </w:t>
      </w:r>
      <w:r>
        <w:t xml:space="preserve">Walsh 2025).</w:t>
      </w:r>
    </w:p>
    <w:p>
      <w:pPr>
        <w:pStyle w:val="BodyText"/>
      </w:pPr>
      <w:r>
        <w:rPr>
          <w:bCs/>
          <w:b/>
        </w:rPr>
        <w:t xml:space="preserve">[84] Methods heading.</w:t>
      </w:r>
      <w:r>
        <w:t xml:space="preserve"> </w:t>
      </w:r>
      <w:r>
        <w:t xml:space="preserve">“</w:t>
      </w:r>
      <w:r>
        <w:t xml:space="preserve">Your methods section is VERY verbose, 6000 words,</w:t>
      </w:r>
      <w:r>
        <w:t xml:space="preserve"> </w:t>
      </w:r>
      <w:r>
        <w:t xml:space="preserve">you need to cut this down to about 2000, I will provide you with a document as</w:t>
      </w:r>
      <w:r>
        <w:t xml:space="preserve"> </w:t>
      </w:r>
      <w:r>
        <w:t xml:space="preserve">a suggestion..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[115] Table 1 (participant flow).</w:t>
      </w:r>
      <w:r>
        <w:t xml:space="preserve"> </w:t>
      </w:r>
      <w:r>
        <w:t xml:space="preserve">“</w:t>
      </w:r>
      <w:r>
        <w:t xml:space="preserve">This table should go into a supplement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[117] Cohort characteristics paragraph.</w:t>
      </w:r>
      <w:r>
        <w:t xml:space="preserve"> </w:t>
      </w:r>
      <w:r>
        <w:t xml:space="preserve">“</w:t>
      </w:r>
      <w:r>
        <w:t xml:space="preserve">This should be one sentence and</w:t>
      </w:r>
      <w:r>
        <w:t xml:space="preserve"> </w:t>
      </w:r>
      <w:r>
        <w:t xml:space="preserve">referring to the table, the goal of this manuscript is NOT to go into detail of</w:t>
      </w:r>
      <w:r>
        <w:t xml:space="preserve"> </w:t>
      </w:r>
      <w:r>
        <w:t xml:space="preserve">the characteristics of TRD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[119] Table 2 (cohort characteristics).</w:t>
      </w:r>
      <w:r>
        <w:t xml:space="preserve"> </w:t>
      </w:r>
      <w:r>
        <w:t xml:space="preserve">“</w:t>
      </w:r>
      <w:r>
        <w:t xml:space="preserve">This should be Table 1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[136] Subgroup outcome prevalence section.</w:t>
      </w:r>
      <w:r>
        <w:t xml:space="preserve"> </w:t>
      </w:r>
      <w:r>
        <w:t xml:space="preserve">“</w:t>
      </w:r>
      <w:r>
        <w:t xml:space="preserve">This goes into the supplement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[172] Figure 11 (ablation forest plot).</w:t>
      </w:r>
      <w:r>
        <w:t xml:space="preserve"> </w:t>
      </w:r>
      <w:r>
        <w:t xml:space="preserve">“</w:t>
      </w:r>
      <w:r>
        <w:t xml:space="preserve">You cannot read the labels of this</w:t>
      </w:r>
      <w:r>
        <w:t xml:space="preserve"> </w:t>
      </w:r>
      <w:r>
        <w:t xml:space="preserve">figure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[176] Discussion heading.</w:t>
      </w:r>
      <w:r>
        <w:t xml:space="preserve"> </w:t>
      </w:r>
      <w:r>
        <w:t xml:space="preserve">“</w:t>
      </w:r>
      <w:r>
        <w:t xml:space="preserve">I will send you a revised discussion section</w:t>
      </w:r>
      <w:r>
        <w:t xml:space="preserve"> </w:t>
      </w:r>
      <w:r>
        <w:t xml:space="preserve">that includes the most recent literature (which I also cited in the intro),</w:t>
      </w:r>
      <w:r>
        <w:t xml:space="preserve">”</w:t>
      </w:r>
    </w:p>
    <w:bookmarkEnd w:id="21"/>
    <w:bookmarkStart w:id="22" w:name="the-tracked-changes"/>
    <w:p>
      <w:pPr>
        <w:pStyle w:val="Heading2"/>
      </w:pPr>
      <w:r>
        <w:t xml:space="preserve">The tracked changes</w:t>
      </w:r>
    </w:p>
    <w:p>
      <w:pPr>
        <w:pStyle w:val="FirstParagraph"/>
      </w:pPr>
      <w:r>
        <w:t xml:space="preserve">Terminology, applied throughout:</w:t>
      </w:r>
      <w:r>
        <w:t xml:space="preserve"> </w:t>
      </w:r>
      <w:r>
        <w:t xml:space="preserve">“</w:t>
      </w:r>
      <w:r>
        <w:t xml:space="preserve">neural embedding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generalized pre-trained</w:t>
      </w:r>
      <w:r>
        <w:t xml:space="preserve"> </w:t>
      </w:r>
      <w:r>
        <w:t xml:space="preserve">transformer embedding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classical machine learning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standard machine</w:t>
      </w:r>
      <w:r>
        <w:t xml:space="preserve"> </w:t>
      </w:r>
      <w:r>
        <w:t xml:space="preserve">learning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anchor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index</w:t>
      </w:r>
      <w:r>
        <w:t xml:space="preserve">”</w:t>
      </w:r>
      <w:r>
        <w:t xml:space="preserve"> </w:t>
      </w:r>
      <w:r>
        <w:t xml:space="preserve">(his Methods and Discussion documents both use</w:t>
      </w:r>
      <w:r>
        <w:t xml:space="preserve"> </w:t>
      </w:r>
      <w:r>
        <w:t xml:space="preserve">index date / pre-index / post-index throughout).</w:t>
      </w:r>
    </w:p>
    <w:p>
      <w:pPr>
        <w:pStyle w:val="BodyText"/>
      </w:pPr>
      <w:r>
        <w:t xml:space="preserve">Condensed rewrites supplied inline for the Abstract, the Introduction, Results</w:t>
      </w:r>
      <w:r>
        <w:t xml:space="preserve"> </w:t>
      </w:r>
      <w:r>
        <w:rPr>
          <w:iCs/>
          <w:i/>
        </w:rPr>
        <w:t xml:space="preserve">Subgroup performance</w:t>
      </w:r>
      <w:r>
        <w:t xml:space="preserve">, and Results</w:t>
      </w:r>
      <w:r>
        <w:t xml:space="preserve"> </w:t>
      </w:r>
      <w:r>
        <w:rPr>
          <w:iCs/>
          <w:i/>
        </w:rPr>
        <w:t xml:space="preserve">Model discrimination</w:t>
      </w:r>
      <w:r>
        <w:t xml:space="preserve">. The remaining edits</w:t>
      </w:r>
      <w:r>
        <w:t xml:space="preserve"> </w:t>
      </w:r>
      <w:r>
        <w:t xml:space="preserve">are word-level.</w:t>
      </w:r>
    </w:p>
    <w:p>
      <w:pPr>
        <w:pStyle w:val="BodyText"/>
      </w:pPr>
      <w:r>
        <w:t xml:space="preserve">One inserted clause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taken: his Abstract insertion glossed the</w:t>
      </w:r>
      <w:r>
        <w:t xml:space="preserve"> </w:t>
      </w:r>
      <w:r>
        <w:t xml:space="preserve">anchor as</w:t>
      </w:r>
      <w:r>
        <w:t xml:space="preserve"> </w:t>
      </w:r>
      <w:r>
        <w:t xml:space="preserve">“</w:t>
      </w:r>
      <w:r>
        <w:t xml:space="preserve">the first instance of antidepressant treatment in the EHR</w:t>
      </w:r>
      <w:r>
        <w:t xml:space="preserve">”</w:t>
      </w:r>
      <w:r>
        <w:t xml:space="preserve">. It is</w:t>
      </w:r>
      <w:r>
        <w:t xml:space="preserve"> </w:t>
      </w:r>
      <w:r>
        <w:t xml:space="preserve">not — that is the description corrected in the 2026-08-28 round. The index is</w:t>
      </w:r>
      <w:r>
        <w:t xml:space="preserve"> </w:t>
      </w:r>
      <w:r>
        <w:t xml:space="preserve">the earliest antidepressant prescription recorded on or after the first</w:t>
      </w:r>
      <w:r>
        <w:t xml:space="preserve"> </w:t>
      </w:r>
      <w:r>
        <w:t xml:space="preserve">documented depression diagnosis, and 24.0% of the cohort carries earlier</w:t>
      </w:r>
      <w:r>
        <w:t xml:space="preserve"> </w:t>
      </w:r>
      <w:r>
        <w:t xml:space="preserve">antidepressant exposure. The Abstract states the correct definition.</w:t>
      </w:r>
    </w:p>
    <w:bookmarkEnd w:id="22"/>
    <w:bookmarkStart w:id="28" w:name="the-follow-up-conversation-of-2026-09-04"/>
    <w:p>
      <w:pPr>
        <w:pStyle w:val="Heading2"/>
      </w:pPr>
      <w:r>
        <w:t xml:space="preserve">The follow-up conversation of 2026-09-04</w:t>
      </w:r>
    </w:p>
    <w:p>
      <w:pPr>
        <w:pStyle w:val="FirstParagraph"/>
      </w:pPr>
      <w:r>
        <w:t xml:space="preserve">Verbal, and not in the tracked-changes file. Recorded from notes rather than</w:t>
      </w:r>
      <w:r>
        <w:t xml:space="preserve"> </w:t>
      </w:r>
      <w:r>
        <w:t xml:space="preserve">quoted, except where marked. It has two halves: a verdict on the prose, and six</w:t>
      </w:r>
      <w:r>
        <w:t xml:space="preserve"> </w:t>
      </w:r>
      <w:r>
        <w:t xml:space="preserve">instructions.</w:t>
      </w:r>
      <w:r>
        <w:t xml:space="preserve"> </w:t>
      </w:r>
      <w:r>
        <w:rPr>
          <w:bCs/>
          <w:b/>
        </w:rPr>
        <w:t xml:space="preserve">None of it is applied</w:t>
      </w:r>
      <w:r>
        <w:t xml:space="preserve">, for the reason at the bottom.</w:t>
      </w:r>
    </w:p>
    <w:bookmarkStart w:id="23" w:name="the-verdict-on-the-writing"/>
    <w:p>
      <w:pPr>
        <w:pStyle w:val="Heading3"/>
      </w:pPr>
      <w:r>
        <w:t xml:space="preserve">The verdict on the writing</w:t>
      </w:r>
    </w:p>
    <w:p>
      <w:pPr>
        <w:pStyle w:val="FirstParagraph"/>
      </w:pPr>
      <w:r>
        <w:t xml:space="preserve">The manuscript is too dense. It is correct — he disputed no number and no claim —</w:t>
      </w:r>
      <w:r>
        <w:t xml:space="preserve"> </w:t>
      </w:r>
      <w:r>
        <w:t xml:space="preserve">but it reads as machine-written, and a sentence has to be read three times before</w:t>
      </w:r>
      <w:r>
        <w:t xml:space="preserve"> </w:t>
      </w:r>
      <w:r>
        <w:t xml:space="preserve">it gives up its meaning. He asked for the draft to be produced with AI in the</w:t>
      </w:r>
      <w:r>
        <w:t xml:space="preserve"> </w:t>
      </w:r>
      <w:r>
        <w:t xml:space="preserve">first place, so this is a judgement about the register, not about the method.</w:t>
      </w:r>
    </w:p>
    <w:p>
      <w:pPr>
        <w:pStyle w:val="BodyText"/>
      </w:pPr>
      <w:r>
        <w:t xml:space="preserve">He is describing something measurable rather than a matter of taste. Across the</w:t>
      </w:r>
      <w:r>
        <w:t xml:space="preserve"> </w:t>
      </w:r>
      <w:r>
        <w:t xml:space="preserve">body text, abstract through conclusions, with tables and captions excluded: 311</w:t>
      </w:r>
      <w:r>
        <w:t xml:space="preserve"> </w:t>
      </w:r>
      <w:r>
        <w:t xml:space="preserve">sentences, mean 26.2 words, median 24, and 23% of them longer than 35 words, the</w:t>
      </w:r>
      <w:r>
        <w:t xml:space="preserve"> </w:t>
      </w:r>
      <w:r>
        <w:t xml:space="preserve">longest at 86; 74 semicolons, 34 em-dashes, 191 parentheses. Readable scientific</w:t>
      </w:r>
      <w:r>
        <w:t xml:space="preserve"> </w:t>
      </w:r>
      <w:r>
        <w:t xml:space="preserve">prose sits nearer a median of 18. Nearly every one of those semicolons and</w:t>
      </w:r>
      <w:r>
        <w:t xml:space="preserve"> </w:t>
      </w:r>
      <w:r>
        <w:t xml:space="preserve">em-dashes is a second or third claim fused into a sentence that already carried</w:t>
      </w:r>
      <w:r>
        <w:t xml:space="preserve"> </w:t>
      </w:r>
      <w:r>
        <w:t xml:space="preserve">one, which is the mechanism behind reading it three times.</w:t>
      </w:r>
    </w:p>
    <w:p>
      <w:pPr>
        <w:pStyle w:val="BodyText"/>
      </w:pPr>
      <w:r>
        <w:t xml:space="preserve">Note what this collides with. Comment 84 cut Methods from 6,057 words to 1,851,</w:t>
      </w:r>
      <w:r>
        <w:t xml:space="preserve"> </w:t>
      </w:r>
      <w:r>
        <w:t xml:space="preserve">and compression is exactly what produces density. The two requests pull against</w:t>
      </w:r>
      <w:r>
        <w:t xml:space="preserve"> </w:t>
      </w:r>
      <w:r>
        <w:t xml:space="preserve">each other, and the resolution is fewer claims with more room each — not the same</w:t>
      </w:r>
      <w:r>
        <w:t xml:space="preserve"> </w:t>
      </w:r>
      <w:r>
        <w:t xml:space="preserve">claims in fewer words.</w:t>
      </w:r>
    </w:p>
    <w:bookmarkEnd w:id="23"/>
    <w:bookmarkStart w:id="24" w:name="three-word-changes"/>
    <w:p>
      <w:pPr>
        <w:pStyle w:val="Heading3"/>
      </w:pPr>
      <w:r>
        <w:t xml:space="preserve">Three word changes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p>
            <w:pPr>
              <w:pStyle w:val="Compact"/>
              <w:jc w:val="left"/>
            </w:pPr>
            <w:r>
              <w:t xml:space="preserve">algorithmic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p>
            <w:pPr>
              <w:pStyle w:val="Compact"/>
              <w:jc w:val="left"/>
            </w:pPr>
            <w:r>
              <w:t xml:space="preserve">participant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trained classifier</w:t>
            </w:r>
          </w:p>
        </w:tc>
        <w:tc>
          <w:p>
            <w:pPr>
              <w:pStyle w:val="Compact"/>
              <w:jc w:val="left"/>
            </w:pPr>
            <w:r>
              <w:t xml:space="preserve">machine learning model</w:t>
            </w:r>
          </w:p>
        </w:tc>
      </w:tr>
    </w:tbl>
    <w:p>
      <w:pPr>
        <w:pStyle w:val="BodyText"/>
      </w:pPr>
      <w:r>
        <w:t xml:space="preserve">The first follows comment [35]. The reason he gave there —</w:t>
      </w:r>
      <w:r>
        <w:t xml:space="preserve"> </w:t>
      </w:r>
      <w:r>
        <w:t xml:space="preserve">“</w:t>
      </w:r>
      <w:r>
        <w:t xml:space="preserve">you had the GPT</w:t>
      </w:r>
      <w:r>
        <w:t xml:space="preserve"> </w:t>
      </w:r>
      <w:r>
        <w:t xml:space="preserve">generate it</w:t>
      </w:r>
      <w:r>
        <w:t xml:space="preserve">”</w:t>
      </w:r>
      <w:r>
        <w:t xml:space="preserve"> </w:t>
      </w:r>
      <w:r>
        <w:t xml:space="preserve">— is wrong on the facts: fixed rules write the narrative, no</w:t>
      </w:r>
      <w:r>
        <w:t xml:space="preserve"> </w:t>
      </w:r>
      <w:r>
        <w:t xml:space="preserve">generative model participates in its construction, and that is precisely what</w:t>
      </w:r>
      <w:r>
        <w:t xml:space="preserve"> </w:t>
      </w:r>
      <w:r>
        <w:t xml:space="preserve">“</w:t>
      </w:r>
      <w:r>
        <w:t xml:space="preserve">deterministic</w:t>
      </w:r>
      <w:r>
        <w:t xml:space="preserve">”</w:t>
      </w:r>
      <w:r>
        <w:t xml:space="preserve"> </w:t>
      </w:r>
      <w:r>
        <w:t xml:space="preserve">was carrying. Concede the word; keep the fact in a clause.</w:t>
      </w:r>
    </w:p>
    <w:bookmarkEnd w:id="24"/>
    <w:bookmarkStart w:id="25" w:name="Xf0ed507a25832a231400dccfdc1970f0b6365db"/>
    <w:p>
      <w:pPr>
        <w:pStyle w:val="Heading3"/>
      </w:pPr>
      <w:r>
        <w:t xml:space="preserve">Two sections leave the packet, both held in reserve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cosine-similarity distribution and its bimodal mode</w:t>
      </w:r>
      <w:r>
        <w:t xml:space="preserve"> </w:t>
      </w:r>
      <w:r>
        <w:t xml:space="preserve">— Supplement S5,</w:t>
      </w:r>
      <w:r>
        <w:t xml:space="preserve"> </w:t>
      </w:r>
      <w:r>
        <w:t xml:space="preserve">the bge-small-en-v1.5 artifact.</w:t>
      </w:r>
      <w:r>
        <w:t xml:space="preserve"> </w:t>
      </w:r>
      <w:r>
        <w:t xml:space="preserve">“</w:t>
      </w:r>
      <w:r>
        <w:t xml:space="preserve">Not relevant enough.</w:t>
      </w:r>
      <w:r>
        <w:t xml:space="preserve">”</w:t>
      </w:r>
      <w:r>
        <w:t xml:space="preserve"> </w:t>
      </w:r>
      <w:r>
        <w:rPr>
          <w:bCs/>
          <w:b/>
        </w:rPr>
        <w:t xml:space="preserve">Reserved, not cut.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fusion analysis</w:t>
      </w:r>
      <w:r>
        <w:t xml:space="preserve"> </w:t>
      </w:r>
      <w:r>
        <w:t xml:space="preserve">— Supplement S7. The same judgement, offered</w:t>
      </w:r>
      <w:r>
        <w:t xml:space="preserve"> </w:t>
      </w:r>
      <w:r>
        <w:t xml:space="preserve">unprompted:</w:t>
      </w:r>
      <w:r>
        <w:t xml:space="preserve"> </w:t>
      </w:r>
      <w:r>
        <w:t xml:space="preserve">“</w:t>
      </w:r>
      <w:r>
        <w:t xml:space="preserve">honestly neither is the fusion analysis.</w:t>
      </w:r>
      <w:r>
        <w:t xml:space="preserve">”</w:t>
      </w:r>
      <w:r>
        <w:t xml:space="preserve"> </w:t>
      </w:r>
      <w:r>
        <w:t xml:space="preserve">Also to reserve.</w:t>
      </w:r>
    </w:p>
    <w:bookmarkEnd w:id="25"/>
    <w:bookmarkStart w:id="26" w:name="the-discussions-take-home"/>
    <w:p>
      <w:pPr>
        <w:pStyle w:val="Heading3"/>
      </w:pPr>
      <w:r>
        <w:t xml:space="preserve">The Discussion’s take-home</w:t>
      </w:r>
    </w:p>
    <w:p>
      <w:pPr>
        <w:pStyle w:val="FirstParagraph"/>
      </w:pPr>
      <w:r>
        <w:t xml:space="preserve">“</w:t>
      </w:r>
      <w:r>
        <w:t xml:space="preserve">Embedders are useful to match the standards other people have done.</w:t>
      </w:r>
      <w:r>
        <w:t xml:space="preserve">”</w:t>
      </w:r>
      <w:r>
        <w:t xml:space="preserve"> </w:t>
      </w:r>
      <w:r>
        <w:t xml:space="preserve">Read as:</w:t>
      </w:r>
      <w:r>
        <w:t xml:space="preserve"> </w:t>
      </w:r>
      <w:r>
        <w:t xml:space="preserve">the point worth leading with is that a general-purpose embedder reaches the</w:t>
      </w:r>
      <w:r>
        <w:t xml:space="preserve"> </w:t>
      </w:r>
      <w:r>
        <w:t xml:space="preserve">discrimination band the published literature already reports — Lage 0.652, Lee</w:t>
      </w:r>
      <w:r>
        <w:t xml:space="preserve"> </w:t>
      </w:r>
      <w:r>
        <w:t xml:space="preserve">0.684, Walsh 0.51-0.64 externally, ours 0.657 — without a purpose-built EHR</w:t>
      </w:r>
      <w:r>
        <w:t xml:space="preserve"> </w:t>
      </w:r>
      <w:r>
        <w:t xml:space="preserve">foundation model. That fits the</w:t>
      </w:r>
      <w:r>
        <w:t xml:space="preserve"> </w:t>
      </w:r>
      <w:r>
        <w:rPr>
          <w:iCs/>
          <w:i/>
        </w:rPr>
        <w:t xml:space="preserve">Comparison with prior work</w:t>
      </w:r>
      <w:r>
        <w:t xml:space="preserve"> </w:t>
      </w:r>
      <w:r>
        <w:t xml:space="preserve">section he supplied</w:t>
      </w:r>
      <w:r>
        <w:t xml:space="preserve"> </w:t>
      </w:r>
      <w:r>
        <w:t xml:space="preserve">and the seven references he added with it.</w:t>
      </w:r>
      <w:r>
        <w:t xml:space="preserve"> </w:t>
      </w:r>
      <w:r>
        <w:rPr>
          <w:bCs/>
          <w:b/>
        </w:rPr>
        <w:t xml:space="preserve">Confirm before acting on it.</w:t>
      </w:r>
      <w:r>
        <w:t xml:space="preserve"> </w:t>
      </w:r>
      <w:r>
        <w:t xml:space="preserve">It</w:t>
      </w:r>
      <w:r>
        <w:t xml:space="preserve"> </w:t>
      </w:r>
      <w:r>
        <w:t xml:space="preserve">reframes</w:t>
      </w:r>
      <w:r>
        <w:t xml:space="preserve"> </w:t>
      </w:r>
      <w:r>
        <w:rPr>
          <w:iCs/>
          <w:i/>
        </w:rPr>
        <w:t xml:space="preserve">Principal findings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the two representations tie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the cheap</w:t>
      </w:r>
      <w:r>
        <w:t xml:space="preserve"> </w:t>
      </w:r>
      <w:r>
        <w:t xml:space="preserve">route reaches the field’s standard</w:t>
      </w:r>
      <w:r>
        <w:t xml:space="preserve">”</w:t>
      </w:r>
      <w:r>
        <w:t xml:space="preserve">, which is a different emphasis for the paper.</w:t>
      </w:r>
    </w:p>
    <w:bookmarkEnd w:id="26"/>
    <w:bookmarkStart w:id="27" w:name="why-none-of-it-is-applied-yet"/>
    <w:p>
      <w:pPr>
        <w:pStyle w:val="Heading3"/>
      </w:pPr>
      <w:r>
        <w:t xml:space="preserve">Why none of it is applied yet</w:t>
      </w:r>
    </w:p>
    <w:p>
      <w:pPr>
        <w:pStyle w:val="FirstParagraph"/>
      </w:pPr>
      <w:r>
        <w:t xml:space="preserve">More rewritten sections are coming. Running the terminology sweep now means</w:t>
      </w:r>
      <w:r>
        <w:t xml:space="preserve"> </w:t>
      </w:r>
      <w:r>
        <w:t xml:space="preserve">running it twice, once over our text and once over his, so the whole set waits on</w:t>
      </w:r>
      <w:r>
        <w:t xml:space="preserve"> </w:t>
      </w:r>
      <w:r>
        <w:t xml:space="preserve">his documents. The cost of each item, the exclusions each one needs, and where</w:t>
      </w:r>
      <w:r>
        <w:t xml:space="preserve"> </w:t>
      </w:r>
      <w:r>
        <w:t xml:space="preserve">every entry lands are in</w:t>
      </w:r>
      <w:r>
        <w:t xml:space="preserve"> </w:t>
      </w:r>
      <w:r>
        <w:rPr>
          <w:rStyle w:val="VerbatimChar"/>
        </w:rPr>
        <w:t xml:space="preserve">round_2026-09-02.md</w:t>
      </w:r>
      <w:r>
        <w:t xml:space="preserve">.</w:t>
      </w:r>
    </w:p>
    <w:bookmarkEnd w:id="27"/>
    <w:bookmarkEnd w:id="28"/>
    <w:bookmarkEnd w:id="29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2026-09-08T19:38:34Z</dcterms:created>
  <dcterms:modified xsi:type="dcterms:W3CDTF">2026-09-08T19:38:34Z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