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275c73db40de645981b2fad7ce2b0bff4ddfc8e"/>
    <w:p>
      <w:pPr>
        <w:pStyle w:val="Heading1"/>
      </w:pPr>
      <w:r>
        <w:t xml:space="preserve">The review round of 2026-09-02, item by item</w:t>
      </w:r>
    </w:p>
    <w:p>
      <w:pPr>
        <w:pStyle w:val="FirstParagraph"/>
      </w:pPr>
      <w:r>
        <w:rPr>
          <w:bCs/>
          <w:b/>
        </w:rPr>
        <w:t xml:space="preserve">Internal. Not part of the submitted packet.</w:t>
      </w:r>
    </w:p>
    <w:p>
      <w:pPr>
        <w:pStyle w:val="BodyText"/>
      </w:pPr>
      <w:r>
        <w:t xml:space="preserve">Delivered as</w:t>
      </w:r>
      <w:r>
        <w:t xml:space="preserve"> </w:t>
      </w:r>
      <w:r>
        <w:rPr>
          <w:rStyle w:val="VerbatimChar"/>
        </w:rPr>
        <w:t xml:space="preserve">feedback/</w:t>
      </w:r>
      <w:r>
        <w:t xml:space="preserve">: a tracked-changes manuscript (64 insertions, 75</w:t>
      </w:r>
      <w:r>
        <w:t xml:space="preserve"> </w:t>
      </w:r>
      <w:r>
        <w:t xml:space="preserve">deletions, 9 comments), two replacement documents — a condensed Methods with its</w:t>
      </w:r>
      <w:r>
        <w:t xml:space="preserve"> </w:t>
      </w:r>
      <w:r>
        <w:t xml:space="preserve">own supplementary appendix, and an integrated Discussion carrying new literature</w:t>
      </w:r>
      <w:r>
        <w:t xml:space="preserve"> </w:t>
      </w:r>
      <w:r>
        <w:t xml:space="preserve">— and a covering email. Everything below was applied on 2026-09-03.</w:t>
      </w:r>
    </w:p>
    <w:bookmarkStart w:id="20" w:name="summary"/>
    <w:p>
      <w:pPr>
        <w:pStyle w:val="Heading2"/>
      </w:pPr>
      <w:r>
        <w:t xml:space="preserve">Summary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/>
        </w:tc>
        <w:tc>
          <w:p>
            <w:pPr>
              <w:pStyle w:val="Compact"/>
              <w:jc w:val="right"/>
            </w:pPr>
            <w:r>
              <w:t xml:space="preserve">Before</w:t>
            </w:r>
          </w:p>
        </w:tc>
        <w:tc>
          <w:p>
            <w:pPr>
              <w:pStyle w:val="Compact"/>
              <w:jc w:val="right"/>
            </w:pPr>
            <w:r>
              <w:t xml:space="preserve">After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Manuscript</w:t>
            </w:r>
          </w:p>
        </w:tc>
        <w:tc>
          <w:p>
            <w:pPr>
              <w:pStyle w:val="Compact"/>
              <w:jc w:val="right"/>
            </w:pPr>
            <w:r>
              <w:t xml:space="preserve">17,221 words</w:t>
            </w:r>
          </w:p>
        </w:tc>
        <w:tc>
          <w:p>
            <w:pPr>
              <w:pStyle w:val="Compact"/>
              <w:jc w:val="right"/>
            </w:pPr>
            <w:r>
              <w:t xml:space="preserve">11,149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Methods</w:t>
            </w:r>
          </w:p>
        </w:tc>
        <w:tc>
          <w:p>
            <w:pPr>
              <w:pStyle w:val="Compact"/>
              <w:jc w:val="right"/>
            </w:pPr>
            <w:r>
              <w:t xml:space="preserve">6,057</w:t>
            </w:r>
          </w:p>
        </w:tc>
        <w:tc>
          <w:p>
            <w:pPr>
              <w:pStyle w:val="Compact"/>
              <w:jc w:val="right"/>
            </w:pPr>
            <w:r>
              <w:t xml:space="preserve">1,851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Discussion</w:t>
            </w:r>
          </w:p>
        </w:tc>
        <w:tc>
          <w:p>
            <w:pPr>
              <w:pStyle w:val="Compact"/>
              <w:jc w:val="right"/>
            </w:pPr>
            <w:r>
              <w:t xml:space="preserve">2,925</w:t>
            </w:r>
          </w:p>
        </w:tc>
        <w:tc>
          <w:p>
            <w:pPr>
              <w:pStyle w:val="Compact"/>
              <w:jc w:val="right"/>
            </w:pPr>
            <w:r>
              <w:t xml:space="preserve">1,903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Results</w:t>
            </w:r>
          </w:p>
        </w:tc>
        <w:tc>
          <w:p>
            <w:pPr>
              <w:pStyle w:val="Compact"/>
              <w:jc w:val="right"/>
            </w:pPr>
            <w:r>
              <w:t xml:space="preserve">5,104</w:t>
            </w:r>
          </w:p>
        </w:tc>
        <w:tc>
          <w:p>
            <w:pPr>
              <w:pStyle w:val="Compact"/>
              <w:jc w:val="right"/>
            </w:pPr>
            <w:r>
              <w:t xml:space="preserve">4,200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Supplement</w:t>
            </w:r>
          </w:p>
        </w:tc>
        <w:tc>
          <w:p>
            <w:pPr>
              <w:pStyle w:val="Compact"/>
              <w:jc w:val="right"/>
            </w:pPr>
            <w:r>
              <w:t xml:space="preserve">13,313</w:t>
            </w:r>
          </w:p>
        </w:tc>
        <w:tc>
          <w:p>
            <w:pPr>
              <w:pStyle w:val="Compact"/>
              <w:jc w:val="right"/>
            </w:pPr>
            <w:r>
              <w:t xml:space="preserve">17,513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References</w:t>
            </w:r>
          </w:p>
        </w:tc>
        <w:tc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Main-text tables</w:t>
            </w:r>
          </w:p>
        </w:tc>
        <w:tc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Figures</w:t>
            </w:r>
          </w:p>
        </w:tc>
        <w:tc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p>
            <w:pPr>
              <w:pStyle w:val="Compact"/>
              <w:jc w:val="right"/>
            </w:pPr>
            <w:r>
              <w:t xml:space="preserve">12 (unchanged)</w:t>
            </w:r>
          </w:p>
        </w:tc>
      </w:tr>
    </w:tbl>
    <w:p>
      <w:pPr>
        <w:pStyle w:val="BodyText"/>
      </w:pPr>
      <w:r>
        <w:t xml:space="preserve">Nothing that left the main text was deleted. It went to the Supplementary</w:t>
      </w:r>
      <w:r>
        <w:t xml:space="preserve"> </w:t>
      </w:r>
      <w:r>
        <w:t xml:space="preserve">Methods (Supplement M1–M13, submitted) or to one of four reserve documents held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../reserve/</w:t>
      </w:r>
      <w:r>
        <w:t xml:space="preserve"> </w:t>
      </w:r>
      <w:r>
        <w:t xml:space="preserve">and not submitted:</w:t>
      </w:r>
      <w:r>
        <w:t xml:space="preserve"> </w:t>
      </w:r>
      <w:r>
        <w:rPr>
          <w:rStyle w:val="VerbatimChar"/>
        </w:rPr>
        <w:t xml:space="preserve">../reserve/methods_reserve.md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../reserve/limitations_reserve.md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../reserve/matched_input_parity.md</w:t>
      </w:r>
      <w:r>
        <w:t xml:space="preserve">,</w:t>
      </w:r>
      <w:r>
        <w:t xml:space="preserve"> </w:t>
      </w:r>
      <w:r>
        <w:rPr>
          <w:rStyle w:val="VerbatimChar"/>
        </w:rPr>
        <w:t xml:space="preserve">../reserve/religion_sensitivity.md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30" w:name="the-nine-comments"/>
    <w:p>
      <w:pPr>
        <w:pStyle w:val="Heading2"/>
      </w:pPr>
      <w:r>
        <w:t xml:space="preserve">The nine comments</w:t>
      </w:r>
    </w:p>
    <w:bookmarkStart w:id="21" w:name="Xac59ed8a8cbe1e025f6f49de6a0d2e80077d933"/>
    <w:p>
      <w:pPr>
        <w:pStyle w:val="Heading3"/>
      </w:pPr>
      <w:r>
        <w:t xml:space="preserve">[35]</w:t>
      </w:r>
      <w:r>
        <w:t xml:space="preserve"> </w:t>
      </w:r>
      <w:r>
        <w:t xml:space="preserve">“</w:t>
      </w:r>
      <w:r>
        <w:t xml:space="preserve">I am not sure what you mean by that term, you had the GPT generate it, I don’t think that counts as deterministic.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Answered in the text rather than argued.</w:t>
      </w:r>
      <w:r>
        <w:t xml:space="preserve"> </w:t>
      </w:r>
      <w:r>
        <w:t xml:space="preserve">No generative model participates in</w:t>
      </w:r>
      <w:r>
        <w:t xml:space="preserve"> </w:t>
      </w:r>
      <w:r>
        <w:t xml:space="preserve">narrative construction; a fixed renderer walks the structured record and emits</w:t>
      </w:r>
      <w:r>
        <w:t xml:space="preserve"> </w:t>
      </w:r>
      <w:r>
        <w:t xml:space="preserve">labelled sections. The Abstract now says the narrative is</w:t>
      </w:r>
      <w:r>
        <w:t xml:space="preserve"> </w:t>
      </w:r>
      <w:r>
        <w:t xml:space="preserve">“</w:t>
      </w:r>
      <w:r>
        <w:t xml:space="preserve">written by fixed</w:t>
      </w:r>
      <w:r>
        <w:t xml:space="preserve"> </w:t>
      </w:r>
      <w:r>
        <w:t xml:space="preserve">rules, with no generative model participating in its construction,</w:t>
      </w:r>
      <w:r>
        <w:t xml:space="preserve">”</w:t>
      </w:r>
      <w:r>
        <w:t xml:space="preserve"> </w:t>
      </w:r>
      <w:r>
        <w:t xml:space="preserve">and his own</w:t>
      </w:r>
      <w:r>
        <w:t xml:space="preserve"> </w:t>
      </w:r>
      <w:r>
        <w:t xml:space="preserve">supplied Methods says the same thing in his words —</w:t>
      </w:r>
      <w:r>
        <w:t xml:space="preserve"> </w:t>
      </w:r>
      <w:r>
        <w:t xml:space="preserve">“</w:t>
      </w:r>
      <w:r>
        <w:t xml:space="preserve">Narrative construction used</w:t>
      </w:r>
      <w:r>
        <w:t xml:space="preserve"> </w:t>
      </w:r>
      <w:r>
        <w:t xml:space="preserve">predefined rules and no generative model, ensuring that every statement was</w:t>
      </w:r>
      <w:r>
        <w:t xml:space="preserve"> </w:t>
      </w:r>
      <w:r>
        <w:t xml:space="preserve">traceable to the structured record.</w:t>
      </w:r>
      <w:r>
        <w:t xml:space="preserve">”</w:t>
      </w:r>
      <w:r>
        <w:t xml:space="preserve"> </w:t>
      </w:r>
      <w:r>
        <w:t xml:space="preserve">The word</w:t>
      </w:r>
      <w:r>
        <w:t xml:space="preserve"> </w:t>
      </w:r>
      <w:r>
        <w:rPr>
          <w:iCs/>
          <w:i/>
        </w:rPr>
        <w:t xml:space="preserve">deterministic</w:t>
      </w:r>
      <w:r>
        <w:t xml:space="preserve"> </w:t>
      </w:r>
      <w:r>
        <w:t xml:space="preserve">survives only</w:t>
      </w:r>
      <w:r>
        <w:t xml:space="preserve"> </w:t>
      </w:r>
      <w:r>
        <w:t xml:space="preserve">where that property is the point.</w:t>
      </w:r>
    </w:p>
    <w:bookmarkEnd w:id="21"/>
    <w:bookmarkStart w:id="22" w:name="Xe31417ff54fe181f9f7f96c700efb3468227e9d"/>
    <w:p>
      <w:pPr>
        <w:pStyle w:val="Heading3"/>
      </w:pPr>
      <w:r>
        <w:t xml:space="preserve">[50] Introduction: replacement text and seven references</w:t>
      </w:r>
    </w:p>
    <w:p>
      <w:pPr>
        <w:pStyle w:val="FirstParagraph"/>
      </w:pPr>
      <w:r>
        <w:rPr>
          <w:bCs/>
          <w:b/>
        </w:rPr>
        <w:t xml:space="preserve">Taken as written</w:t>
      </w:r>
      <w:r>
        <w:t xml:space="preserve">, with his citation markers mapped onto our numbering (25–31).</w:t>
      </w:r>
      <w:r>
        <w:t xml:space="preserve"> </w:t>
      </w:r>
      <w:r>
        <w:t xml:space="preserve">The paragraph on unequal delivery of depression care was deleted with the rest of</w:t>
      </w:r>
      <w:r>
        <w:t xml:space="preserve"> </w:t>
      </w:r>
      <w:r>
        <w:t xml:space="preserve">the old Introduction, as he had it; refs 18–19 survive because Methods,</w:t>
      </w:r>
      <w:r>
        <w:t xml:space="preserve"> </w:t>
      </w:r>
      <w:r>
        <w:rPr>
          <w:iCs/>
          <w:i/>
        </w:rPr>
        <w:t xml:space="preserve">Outcome</w:t>
      </w:r>
      <w:r>
        <w:t xml:space="preserve"> </w:t>
      </w:r>
      <w:r>
        <w:t xml:space="preserve">still cites them.</w:t>
      </w:r>
    </w:p>
    <w:p>
      <w:pPr>
        <w:pStyle w:val="BodyText"/>
      </w:pPr>
      <w:r>
        <w:t xml:space="preserve">Two of his sentences carried no citation and would have orphaned refs 21–22</w:t>
      </w:r>
      <w:r>
        <w:t xml:space="preserve"> </w:t>
      </w:r>
      <w:r>
        <w:t xml:space="preserve">(Shmatko, Waxler), so the EHR-foundation-model clause carries them.</w:t>
      </w:r>
    </w:p>
    <w:p>
      <w:pPr>
        <w:pStyle w:val="BodyText"/>
      </w:pPr>
      <w:r>
        <w:rPr>
          <w:bCs/>
          <w:b/>
        </w:rPr>
        <w:t xml:space="preserve">The seven references are verified</w:t>
      </w:r>
      <w:r>
        <w:t xml:space="preserve"> </w:t>
      </w:r>
      <w:r>
        <w:t xml:space="preserve">(2026-09-03, against PubMed and, where</w:t>
      </w:r>
      <w:r>
        <w:t xml:space="preserve"> </w:t>
      </w:r>
      <w:r>
        <w:t xml:space="preserve">obtainable, the papers). All seven are real. Three had wrong fields as first</w:t>
      </w:r>
      <w:r>
        <w:t xml:space="preserve"> </w:t>
      </w:r>
      <w:r>
        <w:t xml:space="preserve">entered and are corrected: Cepeda’s issue and pages (35(2):126-133 → 35(3):220-228),</w:t>
      </w:r>
      <w:r>
        <w:t xml:space="preserve"> </w:t>
      </w:r>
      <w:r>
        <w:t xml:space="preserve">Iveson’s author list plus its volume and pages, and Walsh’s author list.</w:t>
      </w:r>
      <w:r>
        <w:t xml:space="preserve"> </w:t>
      </w:r>
      <w:r>
        <w:rPr>
          <w:bCs/>
          <w:b/>
        </w:rPr>
        <w:t xml:space="preserve">Every</w:t>
      </w:r>
      <w:r>
        <w:rPr>
          <w:bCs/>
          <w:b/>
        </w:rPr>
        <w:t xml:space="preserve"> </w:t>
      </w:r>
      <w:r>
        <w:rPr>
          <w:bCs/>
          <w:b/>
        </w:rPr>
        <w:t xml:space="preserve">discrimination figure quoted from them is confirmed</w:t>
      </w:r>
      <w:r>
        <w:t xml:space="preserve"> </w:t>
      </w:r>
      <w:r>
        <w:t xml:space="preserve">— see the table under</w:t>
      </w:r>
      <w:r>
        <w:t xml:space="preserve"> </w:t>
      </w:r>
      <w:r>
        <w:rPr>
          <w:iCs/>
          <w:i/>
        </w:rPr>
        <w:t xml:space="preserve">What was checked</w:t>
      </w:r>
      <w:r>
        <w:t xml:space="preserve"> </w:t>
      </w:r>
      <w:r>
        <w:t xml:space="preserve">below. Five are now held as PDFs in</w:t>
      </w:r>
      <w:r>
        <w:t xml:space="preserve"> </w:t>
      </w:r>
      <w:r>
        <w:rPr>
          <w:rStyle w:val="VerbatimChar"/>
        </w:rPr>
        <w:t xml:space="preserve">references/</w:t>
      </w:r>
      <w:r>
        <w:t xml:space="preserve">; Lage and</w:t>
      </w:r>
      <w:r>
        <w:t xml:space="preserve"> </w:t>
      </w:r>
      <w:r>
        <w:t xml:space="preserve">Lee are not open access and have reprint requests drafted.</w:t>
      </w:r>
    </w:p>
    <w:bookmarkEnd w:id="22"/>
    <w:bookmarkStart w:id="23" w:name="X011cd015c7dab257aa818fbc4a0687f439afb32"/>
    <w:p>
      <w:pPr>
        <w:pStyle w:val="Heading3"/>
      </w:pPr>
      <w:r>
        <w:t xml:space="preserve">[84]</w:t>
      </w:r>
      <w:r>
        <w:t xml:space="preserve"> </w:t>
      </w:r>
      <w:r>
        <w:t xml:space="preserve">“</w:t>
      </w:r>
      <w:r>
        <w:t xml:space="preserve">Your methods section is VERY verbose, 6000 words, you need to cut this down to about 2000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His supplied Methods is now the Methods</w:t>
      </w:r>
      <w:r>
        <w:t xml:space="preserve">, at 1,851 words against the 6,057 it</w:t>
      </w:r>
      <w:r>
        <w:t xml:space="preserve"> </w:t>
      </w:r>
      <w:r>
        <w:t xml:space="preserve">started at — a 69% cut, inside his target. Departures from his text are confined</w:t>
      </w:r>
      <w:r>
        <w:t xml:space="preserve"> </w:t>
      </w:r>
      <w:r>
        <w:t xml:space="preserve">to cross-references, citation markers, and two facts his draft could not have</w:t>
      </w:r>
      <w:r>
        <w:t xml:space="preserve"> </w:t>
      </w:r>
      <w:r>
        <w:t xml:space="preserve">known: the eligibility cascade had moved to the supplement under his own comment</w:t>
      </w:r>
      <w:r>
        <w:t xml:space="preserve"> </w:t>
      </w:r>
      <w:r>
        <w:t xml:space="preserve">115, and the cohort table had become Table 1 under comment 119.</w:t>
      </w:r>
    </w:p>
    <w:p>
      <w:pPr>
        <w:pStyle w:val="BodyText"/>
      </w:pPr>
      <w:r>
        <w:t xml:space="preserve">Everything the cut removed was relocated into</w:t>
      </w:r>
      <w:r>
        <w:t xml:space="preserve"> </w:t>
      </w:r>
      <w:r>
        <w:rPr>
          <w:bCs/>
          <w:b/>
        </w:rPr>
        <w:t xml:space="preserve">Supplement M1–M13</w:t>
      </w:r>
      <w:r>
        <w:t xml:space="preserve">, a new</w:t>
      </w:r>
      <w:r>
        <w:t xml:space="preserve"> </w:t>
      </w:r>
      <w:r>
        <w:t xml:space="preserve">Supplementary Methods block at the front of the supplement, with every Methods</w:t>
      </w:r>
      <w:r>
        <w:t xml:space="preserve"> </w:t>
      </w:r>
      <w:r>
        <w:t xml:space="preserve">subsection pointing at its M-section. Eight passages survive nowhere in the</w:t>
      </w:r>
      <w:r>
        <w:t xml:space="preserve"> </w:t>
      </w:r>
      <w:r>
        <w:t xml:space="preserve">packet and are</w:t>
      </w:r>
      <w:r>
        <w:t xml:space="preserve"> </w:t>
      </w:r>
      <w:r>
        <w:rPr>
          <w:rStyle w:val="VerbatimChar"/>
        </w:rPr>
        <w:t xml:space="preserve">../reserve/methods_reserve.md</w:t>
      </w:r>
      <w:r>
        <w:t xml:space="preserve">, each reproduced verbatim with the section it</w:t>
      </w:r>
      <w:r>
        <w:t xml:space="preserve"> </w:t>
      </w:r>
      <w:r>
        <w:t xml:space="preserve">came from and the reviewer question that would want it back.</w:t>
      </w:r>
    </w:p>
    <w:p>
      <w:pPr>
        <w:pStyle w:val="BodyText"/>
      </w:pPr>
      <w:r>
        <w:t xml:space="preserve">The rule that keeps this from undoing itself, recorded in both the Methods header</w:t>
      </w:r>
      <w:r>
        <w:t xml:space="preserve"> </w:t>
      </w:r>
      <w:r>
        <w:t xml:space="preserve">and the reserve document:</w:t>
      </w:r>
      <w:r>
        <w:t xml:space="preserve"> </w:t>
      </w:r>
      <w:r>
        <w:rPr>
          <w:bCs/>
          <w:b/>
        </w:rPr>
        <w:t xml:space="preserve">Methods does not grow.</w:t>
      </w:r>
      <w:r>
        <w:t xml:space="preserve"> </w:t>
      </w:r>
      <w:r>
        <w:t xml:space="preserve">New material goes in its</w:t>
      </w:r>
      <w:r>
        <w:t xml:space="preserve"> </w:t>
      </w:r>
      <w:r>
        <w:t xml:space="preserve">M-section; anything removed from the packet gets an entry in the reserve.</w:t>
      </w:r>
    </w:p>
    <w:bookmarkEnd w:id="23"/>
    <w:bookmarkStart w:id="24" w:name="X8bb9a3d4ed782fefddc345aa15f6c52c95b574f"/>
    <w:p>
      <w:pPr>
        <w:pStyle w:val="Heading3"/>
      </w:pPr>
      <w:r>
        <w:t xml:space="preserve">[115]</w:t>
      </w:r>
      <w:r>
        <w:t xml:space="preserve"> </w:t>
      </w:r>
      <w:r>
        <w:t xml:space="preserve">“</w:t>
      </w:r>
      <w:r>
        <w:t xml:space="preserve">This table should go into a supplement</w:t>
      </w:r>
      <w:r>
        <w:t xml:space="preserve">”</w:t>
      </w:r>
      <w:r>
        <w:t xml:space="preserve"> </w:t>
      </w:r>
      <w:r>
        <w:t xml:space="preserve">(participant flow)</w:t>
      </w:r>
    </w:p>
    <w:p>
      <w:pPr>
        <w:pStyle w:val="FirstParagraph"/>
      </w:pPr>
      <w:r>
        <w:t xml:space="preserve">Moved. It is</w:t>
      </w:r>
      <w:r>
        <w:t xml:space="preserve"> </w:t>
      </w:r>
      <w:r>
        <w:rPr>
          <w:bCs/>
          <w:b/>
        </w:rPr>
        <w:t xml:space="preserve">Supplement M2, Table M1</w:t>
      </w:r>
      <w:r>
        <w:t xml:space="preserve">, beside the eligibility cascade it</w:t>
      </w:r>
      <w:r>
        <w:t xml:space="preserve"> </w:t>
      </w:r>
      <w:r>
        <w:t xml:space="preserve">belongs to. Results,</w:t>
      </w:r>
      <w:r>
        <w:t xml:space="preserve"> </w:t>
      </w:r>
      <w:r>
        <w:rPr>
          <w:iCs/>
          <w:i/>
        </w:rPr>
        <w:t xml:space="preserve">Participant flow</w:t>
      </w:r>
      <w:r>
        <w:t xml:space="preserve"> </w:t>
      </w:r>
      <w:r>
        <w:t xml:space="preserve">keeps the two numbers a reader needs</w:t>
      </w:r>
      <w:r>
        <w:t xml:space="preserve"> </w:t>
      </w:r>
      <w:r>
        <w:t xml:space="preserve">(501,718 → 42,579; 7,455 TRD-positive, 17.5%) and points at it.</w:t>
      </w:r>
    </w:p>
    <w:bookmarkEnd w:id="24"/>
    <w:bookmarkStart w:id="25" w:name="Xcaf7c1c9253ccde9004c18b153a04c585c484c4"/>
    <w:p>
      <w:pPr>
        <w:pStyle w:val="Heading3"/>
      </w:pPr>
      <w:r>
        <w:t xml:space="preserve">[117]</w:t>
      </w:r>
      <w:r>
        <w:t xml:space="preserve"> </w:t>
      </w:r>
      <w:r>
        <w:t xml:space="preserve">“</w:t>
      </w:r>
      <w:r>
        <w:t xml:space="preserve">This should be one sentence and referring to the table</w:t>
      </w:r>
      <w:r>
        <w:t xml:space="preserve">”</w:t>
      </w:r>
    </w:p>
    <w:p>
      <w:pPr>
        <w:pStyle w:val="FirstParagraph"/>
      </w:pPr>
      <w:r>
        <w:t xml:space="preserve">Done, and it is one sentence:</w:t>
      </w:r>
    </w:p>
    <w:p>
      <w:pPr>
        <w:pStyle w:val="BlockText"/>
      </w:pPr>
      <w:r>
        <w:t xml:space="preserve">The cohort was middle-aged (median age 55 years, IQR 38–70), predominantly</w:t>
      </w:r>
      <w:r>
        <w:t xml:space="preserve"> </w:t>
      </w:r>
      <w:r>
        <w:t xml:space="preserve">female (72.5%), White/Caucasian (80.0%) and English-preferring (98.9%), and the</w:t>
      </w:r>
      <w:r>
        <w:t xml:space="preserve"> </w:t>
      </w:r>
      <w:r>
        <w:t xml:space="preserve">characteristics most associated with TRD were a flagged suicidality history,</w:t>
      </w:r>
      <w:r>
        <w:t xml:space="preserve"> </w:t>
      </w:r>
      <w:r>
        <w:t xml:space="preserve">severe MDD coding, and a broad band of psychiatric and substance-use</w:t>
      </w:r>
      <w:r>
        <w:t xml:space="preserve"> </w:t>
      </w:r>
      <w:r>
        <w:t xml:space="preserve">comorbidity; all selected characteristics, overall and by TRD status, are given</w:t>
      </w:r>
      <w:r>
        <w:t xml:space="preserve"> </w:t>
      </w:r>
      <w:r>
        <w:t xml:space="preserve">in Table 1, and within-subgroup TRD prevalence in Supplement S12.</w:t>
      </w:r>
    </w:p>
    <w:p>
      <w:pPr>
        <w:pStyle w:val="FirstParagraph"/>
      </w:pPr>
      <w:r>
        <w:t xml:space="preserve">The paragraph it replaces ran 1,017 words.</w:t>
      </w:r>
    </w:p>
    <w:bookmarkEnd w:id="25"/>
    <w:bookmarkStart w:id="26" w:name="X17246b2889792fdcf4b5612b2ef02ed2bb8ce9b"/>
    <w:p>
      <w:pPr>
        <w:pStyle w:val="Heading3"/>
      </w:pPr>
      <w:r>
        <w:t xml:space="preserve">[119]</w:t>
      </w:r>
      <w:r>
        <w:t xml:space="preserve"> </w:t>
      </w:r>
      <w:r>
        <w:t xml:space="preserve">“</w:t>
      </w:r>
      <w:r>
        <w:t xml:space="preserve">This should be Table 1</w:t>
      </w:r>
      <w:r>
        <w:t xml:space="preserve">”</w:t>
      </w:r>
      <w:r>
        <w:t xml:space="preserve"> </w:t>
      </w:r>
      <w:r>
        <w:t xml:space="preserve">(cohort characteristics)</w:t>
      </w:r>
    </w:p>
    <w:p>
      <w:pPr>
        <w:pStyle w:val="FirstParagraph"/>
      </w:pPr>
      <w:r>
        <w:t xml:space="preserve">Renumbered, and everything after it moved up: discrimination is Table 2,</w:t>
      </w:r>
      <w:r>
        <w:t xml:space="preserve"> </w:t>
      </w:r>
      <w:r>
        <w:t xml:space="preserve">calibration 3, neighbour-weighted 4, ablation 5, encoder 6. The train/test</w:t>
      </w:r>
      <w:r>
        <w:t xml:space="preserve"> </w:t>
      </w:r>
      <w:r>
        <w:t xml:space="preserve">summary table was</w:t>
      </w:r>
      <w:r>
        <w:t xml:space="preserve"> </w:t>
      </w:r>
      <w:r>
        <w:rPr>
          <w:bCs/>
          <w:b/>
        </w:rPr>
        <w:t xml:space="preserve">dropped outright</w:t>
      </w:r>
      <w:r>
        <w:t xml:space="preserve"> </w:t>
      </w:r>
      <w:r>
        <w:t xml:space="preserve">rather than renumbered — its two numbers</w:t>
      </w:r>
      <w:r>
        <w:t xml:space="preserve"> </w:t>
      </w:r>
      <w:r>
        <w:t xml:space="preserve">are stated in Methods now, which is where they belong. Figures are untouched at</w:t>
      </w:r>
      <w:r>
        <w:t xml:space="preserve"> </w:t>
      </w:r>
      <w:r>
        <w:t xml:space="preserve">1–12.</w:t>
      </w:r>
    </w:p>
    <w:bookmarkEnd w:id="26"/>
    <w:bookmarkStart w:id="27" w:name="Xe583aa18e73f8cfc57c555ccb5d80a7ec9ee982"/>
    <w:p>
      <w:pPr>
        <w:pStyle w:val="Heading3"/>
      </w:pPr>
      <w:r>
        <w:t xml:space="preserve">[136]</w:t>
      </w:r>
      <w:r>
        <w:t xml:space="preserve"> </w:t>
      </w:r>
      <w:r>
        <w:t xml:space="preserve">“</w:t>
      </w:r>
      <w:r>
        <w:t xml:space="preserve">This goes into the supplement</w:t>
      </w:r>
      <w:r>
        <w:t xml:space="preserve">”</w:t>
      </w:r>
      <w:r>
        <w:t xml:space="preserve"> </w:t>
      </w:r>
      <w:r>
        <w:t xml:space="preserve">(subgroup outcome prevalence)</w:t>
      </w:r>
    </w:p>
    <w:p>
      <w:pPr>
        <w:pStyle w:val="FirstParagraph"/>
      </w:pPr>
      <w:r>
        <w:t xml:space="preserve">Moved to</w:t>
      </w:r>
      <w:r>
        <w:t xml:space="preserve"> </w:t>
      </w:r>
      <w:r>
        <w:rPr>
          <w:bCs/>
          <w:b/>
        </w:rPr>
        <w:t xml:space="preserve">Supplement S12</w:t>
      </w:r>
      <w:r>
        <w:t xml:space="preserve">, in full. Subgroup</w:t>
      </w:r>
      <w:r>
        <w:t xml:space="preserve"> </w:t>
      </w:r>
      <w:r>
        <w:rPr>
          <w:iCs/>
          <w:i/>
        </w:rPr>
        <w:t xml:space="preserve">performance</w:t>
      </w:r>
      <w:r>
        <w:t xml:space="preserve"> </w:t>
      </w:r>
      <w:r>
        <w:t xml:space="preserve">— a different thing,</w:t>
      </w:r>
      <w:r>
        <w:t xml:space="preserve"> </w:t>
      </w:r>
      <w:r>
        <w:t xml:space="preserve">and the one that answers the previous round — stays in Results, in his condensed</w:t>
      </w:r>
      <w:r>
        <w:t xml:space="preserve"> </w:t>
      </w:r>
      <w:r>
        <w:t xml:space="preserve">rewrite of it.</w:t>
      </w:r>
    </w:p>
    <w:bookmarkEnd w:id="27"/>
    <w:bookmarkStart w:id="28" w:name="X5e9c6b1a95afa7b2cf84f1e403c5bad2f442721"/>
    <w:p>
      <w:pPr>
        <w:pStyle w:val="Heading3"/>
      </w:pPr>
      <w:r>
        <w:t xml:space="preserve">[172]</w:t>
      </w:r>
      <w:r>
        <w:t xml:space="preserve"> </w:t>
      </w:r>
      <w:r>
        <w:t xml:space="preserve">“</w:t>
      </w:r>
      <w:r>
        <w:t xml:space="preserve">You cannot read the labels of this figure</w:t>
      </w:r>
      <w:r>
        <w:t xml:space="preserve">”</w:t>
      </w:r>
      <w:r>
        <w:t xml:space="preserve"> </w:t>
      </w:r>
      <w:r>
        <w:t xml:space="preserve">(Figure 11)</w:t>
      </w:r>
    </w:p>
    <w:p>
      <w:pPr>
        <w:pStyle w:val="FirstParagraph"/>
      </w:pPr>
      <w:r>
        <w:rPr>
          <w:bCs/>
          <w:b/>
        </w:rPr>
        <w:t xml:space="preserve">The one comment that named a defect rather than a preference.</w:t>
      </w:r>
      <w:r>
        <w:t xml:space="preserve"> </w:t>
      </w:r>
      <w:r>
        <w:t xml:space="preserve">The ablation</w:t>
      </w:r>
      <w:r>
        <w:t xml:space="preserve"> </w:t>
      </w:r>
      <w:r>
        <w:t xml:space="preserve">forest plot was generated one-by-four at 20 inches wide, so at the manuscript’s</w:t>
      </w:r>
      <w:r>
        <w:t xml:space="preserve"> </w:t>
      </w:r>
      <w:r>
        <w:t xml:space="preserve">6in text column it downscaled 3.3× and its 15pt type landed at about 4.5pt.</w:t>
      </w:r>
    </w:p>
    <w:p>
      <w:pPr>
        <w:pStyle w:val="BodyText"/>
      </w:pPr>
      <w:r>
        <w:t xml:space="preserve">It is a two-by-two grid at 10 × 7.4in now — 4.44in tall on the page, inside the</w:t>
      </w:r>
      <w:r>
        <w:t xml:space="preserve"> </w:t>
      </w:r>
      <w:r>
        <w:t xml:space="preserve">4.50in pair-on-a-page threshold established on 2026-08-21 — with row labels on</w:t>
      </w:r>
      <w:r>
        <w:t xml:space="preserve"> </w:t>
      </w:r>
      <w:r>
        <w:t xml:space="preserve">every panel instead of only the leftmost.</w:t>
      </w:r>
      <w:r>
        <w:t xml:space="preserve"> </w:t>
      </w:r>
      <w:r>
        <w:rPr>
          <w:rStyle w:val="VerbatimChar"/>
        </w:rPr>
        <w:t xml:space="preserve">TRD-EHR</w:t>
      </w:r>
      <w:r>
        <w:t xml:space="preserve"> </w:t>
      </w:r>
      <w:r>
        <w:t xml:space="preserve">gained</w:t>
      </w:r>
      <w:r>
        <w:t xml:space="preserve"> </w:t>
      </w:r>
      <w:r>
        <w:rPr>
          <w:rStyle w:val="VerbatimChar"/>
        </w:rPr>
        <w:t xml:space="preserve">scripts/pipeline/predictions/redraw_ablation_forest.py</w:t>
      </w:r>
      <w:r>
        <w:t xml:space="preserve">, which rebuilds the PNG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ablation_summary.csv</w:t>
      </w:r>
      <w:r>
        <w:t xml:space="preserve"> </w:t>
      </w:r>
      <w:r>
        <w:t xml:space="preserve">and the baseline metrics JSON without refitting or</w:t>
      </w:r>
      <w:r>
        <w:t xml:space="preserve"> </w:t>
      </w:r>
      <w:r>
        <w:t xml:space="preserve">re-embedding anything and checks every delta against the recorded value before it</w:t>
      </w:r>
      <w:r>
        <w:t xml:space="preserve"> </w:t>
      </w:r>
      <w:r>
        <w:t xml:space="preserve">writes;</w:t>
      </w:r>
      <w:r>
        <w:t xml:space="preserve"> </w:t>
      </w:r>
      <w:r>
        <w:rPr>
          <w:rStyle w:val="VerbatimChar"/>
        </w:rPr>
        <w:t xml:space="preserve">plot_ablation_roc_ci</w:t>
      </w:r>
      <w:r>
        <w:t xml:space="preserve"> </w:t>
      </w:r>
      <w:r>
        <w:t xml:space="preserve">carries the same geometry so a pipeline re-run</w:t>
      </w:r>
      <w:r>
        <w:t xml:space="preserve"> </w:t>
      </w:r>
      <w:r>
        <w:t xml:space="preserve">cannot put the old one back.</w:t>
      </w:r>
      <w:r>
        <w:t xml:space="preserve"> </w:t>
      </w:r>
      <w:r>
        <w:rPr>
          <w:bCs/>
          <w:b/>
        </w:rPr>
        <w:t xml:space="preserve">No number moved.</w:t>
      </w:r>
    </w:p>
    <w:bookmarkEnd w:id="28"/>
    <w:bookmarkStart w:id="29" w:name="revised-discussion"/>
    <w:p>
      <w:pPr>
        <w:pStyle w:val="Heading3"/>
      </w:pPr>
      <w:r>
        <w:t xml:space="preserve">[176] Revised Discussion</w:t>
      </w:r>
    </w:p>
    <w:p>
      <w:pPr>
        <w:pStyle w:val="FirstParagraph"/>
      </w:pPr>
      <w:r>
        <w:rPr>
          <w:bCs/>
          <w:b/>
        </w:rPr>
        <w:t xml:space="preserve">Taken as written</w:t>
      </w:r>
      <w:r>
        <w:t xml:space="preserve">, including its new</w:t>
      </w:r>
      <w:r>
        <w:t xml:space="preserve"> </w:t>
      </w:r>
      <w:r>
        <w:rPr>
          <w:iCs/>
          <w:i/>
        </w:rPr>
        <w:t xml:space="preserve">Comparison with prior work</w:t>
      </w:r>
      <w:r>
        <w:t xml:space="preserve"> </w:t>
      </w:r>
      <w:r>
        <w:t xml:space="preserve">section and</w:t>
      </w:r>
      <w:r>
        <w:t xml:space="preserve"> </w:t>
      </w:r>
      <w:r>
        <w:t xml:space="preserve">including its absence of a Limitations section — see below.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the-email"/>
    <w:p>
      <w:pPr>
        <w:pStyle w:val="Heading2"/>
      </w:pPr>
      <w:r>
        <w:t xml:space="preserve">The email</w:t>
      </w:r>
    </w:p>
    <w:p>
      <w:pPr>
        <w:pStyle w:val="BlockText"/>
      </w:pPr>
      <w:r>
        <w:t xml:space="preserve">You need to make many sections more concise (and I gave examples).</w:t>
      </w:r>
    </w:p>
    <w:p>
      <w:pPr>
        <w:pStyle w:val="FirstParagraph"/>
      </w:pPr>
      <w:r>
        <w:t xml:space="preserve">Every section he pointed at is shorter. Methods −69%, Results −18% (prose −25%),</w:t>
      </w:r>
      <w:r>
        <w:t xml:space="preserve"> </w:t>
      </w:r>
      <w:r>
        <w:t xml:space="preserve">Introduction −18%, Abstract −4%.</w:t>
      </w:r>
      <w:r>
        <w:t xml:space="preserve"> </w:t>
      </w:r>
      <w:r>
        <w:rPr>
          <w:bCs/>
          <w:b/>
        </w:rPr>
        <w:t xml:space="preserve">Discussion is his own draft at his own</w:t>
      </w:r>
      <w:r>
        <w:rPr>
          <w:bCs/>
          <w:b/>
        </w:rPr>
        <w:t xml:space="preserve"> </w:t>
      </w:r>
      <w:r>
        <w:rPr>
          <w:bCs/>
          <w:b/>
        </w:rPr>
        <w:t xml:space="preserve">length</w:t>
      </w:r>
      <w:r>
        <w:t xml:space="preserve">, so it did not shrink by our hand; it fell 2,925 → 1,903 only because</w:t>
      </w:r>
      <w:r>
        <w:t xml:space="preserve"> </w:t>
      </w:r>
      <w:r>
        <w:t xml:space="preserve">Limitations came out of it. References grew by the seven papers he added.</w:t>
      </w:r>
    </w:p>
    <w:p>
      <w:r>
        <w:pict>
          <v:rect style="width:0;height:1.5pt" o:hralign="center" o:hrstd="t" o:hr="t"/>
        </w:pict>
      </w:r>
    </w:p>
    <w:bookmarkEnd w:id="31"/>
    <w:bookmarkStart w:id="34" w:name="the-two-structural-decisions"/>
    <w:p>
      <w:pPr>
        <w:pStyle w:val="Heading2"/>
      </w:pPr>
      <w:r>
        <w:t xml:space="preserve">The two structural decisions</w:t>
      </w:r>
    </w:p>
    <w:bookmarkStart w:id="32" w:name="time-zero-is-the-index-not-the-anchor"/>
    <w:p>
      <w:pPr>
        <w:pStyle w:val="Heading3"/>
      </w:pPr>
      <w:r>
        <w:t xml:space="preserve">Time zero is the index, not the anchor</w:t>
      </w:r>
    </w:p>
    <w:p>
      <w:pPr>
        <w:pStyle w:val="FirstParagraph"/>
      </w:pPr>
      <w:r>
        <w:t xml:space="preserve">His Methods and Discussion both use</w:t>
      </w:r>
      <w:r>
        <w:t xml:space="preserve"> </w:t>
      </w:r>
      <w:r>
        <w:rPr>
          <w:iCs/>
          <w:i/>
        </w:rPr>
        <w:t xml:space="preserve">index date</w:t>
      </w:r>
      <w:r>
        <w:t xml:space="preserve">,</w:t>
      </w:r>
      <w:r>
        <w:t xml:space="preserve"> </w:t>
      </w:r>
      <w:r>
        <w:rPr>
          <w:iCs/>
          <w:i/>
        </w:rPr>
        <w:t xml:space="preserve">pre-index</w:t>
      </w:r>
      <w:r>
        <w:t xml:space="preserve">,</w:t>
      </w:r>
      <w:r>
        <w:t xml:space="preserve"> </w:t>
      </w:r>
      <w:r>
        <w:rPr>
          <w:iCs/>
          <w:i/>
        </w:rPr>
        <w:t xml:space="preserve">post-index</w:t>
      </w:r>
      <w:r>
        <w:t xml:space="preserve"> </w:t>
      </w:r>
      <w:r>
        <w:t xml:space="preserve">throughout, so the whole packet does now. The word</w:t>
      </w:r>
      <w:r>
        <w:t xml:space="preserve"> </w:t>
      </w:r>
      <w:r>
        <w:rPr>
          <w:iCs/>
          <w:i/>
        </w:rPr>
        <w:t xml:space="preserve">anchor</w:t>
      </w:r>
      <w:r>
        <w:t xml:space="preserve"> </w:t>
      </w:r>
      <w:r>
        <w:t xml:space="preserve">survives in exactly</w:t>
      </w:r>
      <w:r>
        <w:t xml:space="preserve"> </w:t>
      </w:r>
      <w:r>
        <w:t xml:space="preserve">one sense — a</w:t>
      </w:r>
      <w:r>
        <w:t xml:space="preserve"> </w:t>
      </w:r>
      <w:r>
        <w:rPr>
          <w:bCs/>
          <w:b/>
        </w:rPr>
        <w:t xml:space="preserve">query anchor</w:t>
      </w:r>
      <w:r>
        <w:t xml:space="preserve"> </w:t>
      </w:r>
      <w:r>
        <w:t xml:space="preserve">in the retrieval arm — which is a collision that</w:t>
      </w:r>
      <w:r>
        <w:t xml:space="preserve"> </w:t>
      </w:r>
      <w:r>
        <w:t xml:space="preserve">disappears rather than a name that was kept.</w:t>
      </w:r>
    </w:p>
    <w:p>
      <w:pPr>
        <w:pStyle w:val="BodyText"/>
      </w:pPr>
      <w:r>
        <w:t xml:space="preserve">The deterministic renderer still prints</w:t>
      </w:r>
      <w:r>
        <w:t xml:space="preserve"> </w:t>
      </w:r>
      <w:r>
        <w:rPr>
          <w:rStyle w:val="VerbatimChar"/>
        </w:rPr>
        <w:t xml:space="preserve">MDD-to-anchor gap</w:t>
      </w:r>
      <w:r>
        <w:t xml:space="preserve"> </w:t>
      </w:r>
      <w:r>
        <w:t xml:space="preserve">in its own field</w:t>
      </w:r>
      <w:r>
        <w:t xml:space="preserve"> </w:t>
      </w:r>
      <w:r>
        <w:t xml:space="preserve">labels. The example narratives in Supplement S6 are reproduced exactly as the</w:t>
      </w:r>
      <w:r>
        <w:t xml:space="preserve"> </w:t>
      </w:r>
      <w:r>
        <w:t xml:space="preserve">encoder received them and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re-labelled; one sentence there says so.</w:t>
      </w:r>
    </w:p>
    <w:bookmarkEnd w:id="32"/>
    <w:bookmarkStart w:id="33" w:name="the-embedding-has-one-name-and-it-is-his"/>
    <w:p>
      <w:pPr>
        <w:pStyle w:val="Heading3"/>
      </w:pPr>
      <w:r>
        <w:t xml:space="preserve">The embedding has one name, and it is his</w:t>
      </w:r>
    </w:p>
    <w:p>
      <w:pPr>
        <w:pStyle w:val="FirstParagraph"/>
      </w:pPr>
      <w:r>
        <w:t xml:space="preserve">“</w:t>
      </w:r>
      <w:r>
        <w:t xml:space="preserve">Generalized pretrained transformer embedding</w:t>
      </w:r>
      <w:r>
        <w:t xml:space="preserve">”</w:t>
      </w:r>
      <w:r>
        <w:t xml:space="preserve">, everywhere,</w:t>
      </w:r>
      <w:r>
        <w:t xml:space="preserve"> </w:t>
      </w:r>
      <w:r>
        <w:rPr>
          <w:bCs/>
          <w:b/>
        </w:rPr>
        <w:t xml:space="preserve">title included</w:t>
      </w:r>
      <w:r>
        <w:t xml:space="preserve">.</w:t>
      </w:r>
      <w:r>
        <w:t xml:space="preserve"> </w:t>
      </w:r>
      <w:r>
        <w:t xml:space="preserve">“</w:t>
      </w:r>
      <w:r>
        <w:t xml:space="preserve">Neural embedding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neural narrative embedding</w:t>
      </w:r>
      <w:r>
        <w:t xml:space="preserve">”</w:t>
      </w:r>
      <w:r>
        <w:t xml:space="preserve"> </w:t>
      </w:r>
      <w:r>
        <w:t xml:space="preserve">appear nowhere. The title is</w:t>
      </w:r>
      <w:r>
        <w:t xml:space="preserve"> </w:t>
      </w:r>
      <w:r>
        <w:t xml:space="preserve">now</w:t>
      </w:r>
      <w:r>
        <w:t xml:space="preserve"> </w:t>
      </w:r>
      <w:r>
        <w:rPr>
          <w:iCs/>
          <w:i/>
        </w:rPr>
        <w:t xml:space="preserve">Typed Feature Vectors Versus Generalized Pretrained Transformer Embeddings</w:t>
      </w:r>
      <w:r>
        <w:rPr>
          <w:iCs/>
          <w:i/>
        </w:rPr>
        <w:t xml:space="preserve"> </w:t>
      </w:r>
      <w:r>
        <w:rPr>
          <w:iCs/>
          <w:i/>
        </w:rPr>
        <w:t xml:space="preserve">of Patient Narratives for Predicting a Treatment-Switch–Defined Electronic Health</w:t>
      </w:r>
      <w:r>
        <w:rPr>
          <w:iCs/>
          <w:i/>
        </w:rPr>
        <w:t xml:space="preserve"> </w:t>
      </w:r>
      <w:r>
        <w:rPr>
          <w:iCs/>
          <w:i/>
        </w:rPr>
        <w:t xml:space="preserve">Record Proxy for Treatment-Resistant Depression: Retrospective Cohort Study</w:t>
      </w:r>
      <w:r>
        <w:t xml:space="preserve">,</w:t>
      </w:r>
      <w:r>
        <w:t xml:space="preserve"> </w:t>
      </w:r>
      <w:r>
        <w:t xml:space="preserve">propagated to the cover letter and the checklist, both of which quote it.</w:t>
      </w:r>
    </w:p>
    <w:p>
      <w:pPr>
        <w:pStyle w:val="BodyText"/>
      </w:pPr>
      <w:r>
        <w:t xml:space="preserve">Spelling is</w:t>
      </w:r>
      <w:r>
        <w:t xml:space="preserve"> </w:t>
      </w:r>
      <w:r>
        <w:rPr>
          <w:iCs/>
          <w:i/>
        </w:rPr>
        <w:t xml:space="preserve">pretrained</w:t>
      </w:r>
      <w:r>
        <w:t xml:space="preserve">, unhyphenated. He wrote it both ways; this is the one</w:t>
      </w:r>
      <w:r>
        <w:t xml:space="preserve"> </w:t>
      </w:r>
      <w:r>
        <w:t xml:space="preserve">that does not fight</w:t>
      </w:r>
      <w:r>
        <w:t xml:space="preserve"> </w:t>
      </w:r>
      <w:r>
        <w:t xml:space="preserve">“</w:t>
      </w:r>
      <w:r>
        <w:t xml:space="preserve">pretrained sentence-transformer encoder</w:t>
      </w:r>
      <w:r>
        <w:t xml:space="preserve">”</w:t>
      </w:r>
      <w:r>
        <w:t xml:space="preserve"> </w:t>
      </w:r>
      <w:r>
        <w:t xml:space="preserve">already in Methods.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limitations"/>
    <w:p>
      <w:pPr>
        <w:pStyle w:val="Heading2"/>
      </w:pPr>
      <w:r>
        <w:t xml:space="preserve">Limitations</w:t>
      </w:r>
    </w:p>
    <w:p>
      <w:pPr>
        <w:pStyle w:val="FirstParagraph"/>
      </w:pPr>
      <w:r>
        <w:t xml:space="preserve">His Discussion has no Limitations section.</w:t>
      </w:r>
      <w:r>
        <w:t xml:space="preserve"> </w:t>
      </w:r>
      <w:r>
        <w:rPr>
          <w:bCs/>
          <w:b/>
        </w:rPr>
        <w:t xml:space="preserve">The packet now has none either</w:t>
      </w:r>
      <w:r>
        <w:t xml:space="preserve">,</w:t>
      </w:r>
      <w:r>
        <w:t xml:space="preserve"> </w:t>
      </w:r>
      <w:r>
        <w:t xml:space="preserve">decided 2026-09-03, and the nine named items are held whole in</w:t>
      </w:r>
      <w:r>
        <w:t xml:space="preserve"> </w:t>
      </w:r>
      <w:r>
        <w:rPr>
          <w:rStyle w:val="VerbatimChar"/>
        </w:rPr>
        <w:t xml:space="preserve">../reserve/limitations_reserve.md</w:t>
      </w:r>
      <w:r>
        <w:t xml:space="preserve">.</w:t>
      </w:r>
    </w:p>
    <w:p>
      <w:pPr>
        <w:pStyle w:val="BodyText"/>
      </w:pPr>
      <w:r>
        <w:t xml:space="preserve">This is less drastic than it sounds, and the reserve document carries the audit</w:t>
      </w:r>
      <w:r>
        <w:t xml:space="preserve"> </w:t>
      </w:r>
      <w:r>
        <w:t xml:space="preserve">item by item.</w:t>
      </w:r>
      <w:r>
        <w:t xml:space="preserve"> </w:t>
      </w:r>
      <w:r>
        <w:rPr>
          <w:bCs/>
          <w:b/>
        </w:rPr>
        <w:t xml:space="preserve">Seven of the nine still say something the packet says elsewhere</w:t>
      </w:r>
      <w:r>
        <w:t xml:space="preserve"> </w:t>
      </w:r>
      <w:r>
        <w:t xml:space="preserve">— his Methods absorbed several of them wholesale, Supplement M1–M13 carry the</w:t>
      </w:r>
      <w:r>
        <w:t xml:space="preserve"> </w:t>
      </w:r>
      <w:r>
        <w:t xml:space="preserve">rest, and his own Discussion argues fairness and the outcome proxy at length in</w:t>
      </w:r>
      <w:r>
        <w:t xml:space="preserve"> </w:t>
      </w:r>
      <w:r>
        <w:t xml:space="preserve">its own words.</w:t>
      </w:r>
      <w:r>
        <w:t xml:space="preserve"> </w:t>
      </w:r>
      <w:r>
        <w:rPr>
          <w:bCs/>
          <w:b/>
        </w:rPr>
        <w:t xml:space="preserve">Two left the packet and are nowhere in it:</w:t>
      </w:r>
    </w:p>
    <w:p>
      <w:pPr>
        <w:numPr>
          <w:ilvl w:val="0"/>
          <w:numId w:val="1001"/>
        </w:numPr>
        <w:pStyle w:val="Compact"/>
      </w:pPr>
      <w:r>
        <w:t xml:space="preserve">that dropping the vital signs is arguably the wrong handling for a prediction</w:t>
      </w:r>
      <w:r>
        <w:t xml:space="preserve"> </w:t>
      </w:r>
      <w:r>
        <w:t xml:space="preserve">problem, where an informative pattern of missingness is usable signal rather</w:t>
      </w:r>
      <w:r>
        <w:t xml:space="preserve"> </w:t>
      </w:r>
      <w:r>
        <w:t xml:space="preserve">than a nuisance;</w:t>
      </w:r>
    </w:p>
    <w:p>
      <w:pPr>
        <w:numPr>
          <w:ilvl w:val="0"/>
          <w:numId w:val="1001"/>
        </w:numPr>
        <w:pStyle w:val="Compact"/>
      </w:pPr>
      <w:r>
        <w:t xml:space="preserve">that the reported discrimination should be read as an upper bound on what the</w:t>
      </w:r>
      <w:r>
        <w:t xml:space="preserve"> </w:t>
      </w:r>
      <w:r>
        <w:t xml:space="preserve">same models would achieve on later data or in another system.</w:t>
      </w:r>
    </w:p>
    <w:p>
      <w:pPr>
        <w:pStyle w:val="FirstParagraph"/>
      </w:pPr>
      <w:r>
        <w:t xml:space="preserve">Both are one sentence. If the section stays out, the cheapest repair is to put</w:t>
      </w:r>
      <w:r>
        <w:t xml:space="preserve"> </w:t>
      </w:r>
      <w:r>
        <w:t xml:space="preserve">these two back into Methods and</w:t>
      </w:r>
      <w:r>
        <w:t xml:space="preserve"> </w:t>
      </w:r>
      <w:r>
        <w:rPr>
          <w:iCs/>
          <w:i/>
        </w:rPr>
        <w:t xml:space="preserve">Implications for validation and clinical use</w:t>
      </w:r>
      <w:r>
        <w:t xml:space="preserve"> </w:t>
      </w:r>
      <w:r>
        <w:t xml:space="preserve">respectively, without reintroducing a heading.</w:t>
      </w:r>
    </w:p>
    <w:p>
      <w:pPr>
        <w:pStyle w:val="BodyText"/>
      </w:pPr>
      <w:r>
        <w:rPr>
          <w:bCs/>
          <w:b/>
        </w:rPr>
        <w:t xml:space="preserve">What it costs on the checklist.</w:t>
      </w:r>
      <w:r>
        <w:t xml:space="preserve"> </w:t>
      </w:r>
      <w:r>
        <w:t xml:space="preserve">TRIPOD+AI item 26 asks for a discussion of</w:t>
      </w:r>
      <w:r>
        <w:t xml:space="preserve"> </w:t>
      </w:r>
      <w:r>
        <w:t xml:space="preserve">limitations. Its row now points at the places that carry them, which is true and</w:t>
      </w:r>
      <w:r>
        <w:t xml:space="preserve"> </w:t>
      </w:r>
      <w:r>
        <w:t xml:space="preserve">is a weaker answer than a section with the word on it. A reviewer who looks for</w:t>
      </w:r>
      <w:r>
        <w:t xml:space="preserve"> </w:t>
      </w:r>
      <w:r>
        <w:t xml:space="preserve">the heading will not find one. This is the item to raise with him.</w:t>
      </w:r>
    </w:p>
    <w:p>
      <w:r>
        <w:pict>
          <v:rect style="width:0;height:1.5pt" o:hralign="center" o:hrstd="t" o:hr="t"/>
        </w:pict>
      </w:r>
    </w:p>
    <w:bookmarkEnd w:id="35"/>
    <w:bookmarkStart w:id="36" w:name="what-was-checked"/>
    <w:p>
      <w:pPr>
        <w:pStyle w:val="Heading2"/>
      </w:pPr>
      <w:r>
        <w:t xml:space="preserve">What was checked</w:t>
      </w:r>
    </w:p>
    <w:p>
      <w:pPr>
        <w:pStyle w:val="FirstParagraph"/>
      </w:pPr>
      <w:r>
        <w:rPr>
          <w:bCs/>
          <w:b/>
        </w:rPr>
        <w:t xml:space="preserve">Every competitor figure quoted in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Comparison with prior work</w:t>
      </w:r>
      <w:r>
        <w:t xml:space="preserve"> </w:t>
      </w:r>
      <w:r>
        <w:t xml:space="preserve">— against the</w:t>
      </w:r>
      <w:r>
        <w:t xml:space="preserve"> </w:t>
      </w:r>
      <w:r>
        <w:t xml:space="preserve">source abstracts, 2026-09-03: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Claim in our Discussion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Liberman: ROC AUC 0.83, incident TRD, 24 months, 35,246 adults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35,246 people met eligibility… followed for 24 months… AUC = 0.83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✅ exact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Lage: externally validated 0.652 (95% CI 0.623–0.682), top-quintile lift 1.99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 the second health system… AUC of 0.652 (95% CI: 0.623-0.682)… Lift in the top quintile was 1.99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✅ exact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Lee: structured 0.684, notes 0.569, combined 0.728, MRI highest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0.770, 0.762, 0.728, 0.703, 0.684, and 0.569</w:t>
            </w:r>
            <w:r>
              <w:t xml:space="preserve">”</w:t>
            </w:r>
            <w:r>
              <w:t xml:space="preserve">; all sources highest at 0.794</w:t>
            </w:r>
          </w:p>
        </w:tc>
        <w:tc>
          <w:p>
            <w:pPr>
              <w:pStyle w:val="Compact"/>
              <w:jc w:val="left"/>
            </w:pPr>
            <w:r>
              <w:t xml:space="preserve">✅ exact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Walsh: internal 0.58–0.64 falling to 0.51–0.58 external, poor concordance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AUROCs 0.58 - 0.64 on internal validation and 0.51 - 0.58 on external</w:t>
            </w:r>
            <w:r>
              <w:t xml:space="preserve">”</w:t>
            </w:r>
            <w:r>
              <w:t xml:space="preserve">; CCCs 0.13–0.38</w:t>
            </w:r>
          </w:p>
        </w:tc>
        <w:tc>
          <w:p>
            <w:pPr>
              <w:pStyle w:val="Compact"/>
              <w:jc w:val="left"/>
            </w:pPr>
            <w:r>
              <w:t xml:space="preserve">✅ exact</w:t>
            </w:r>
          </w:p>
        </w:tc>
      </w:tr>
    </w:tbl>
    <w:p>
      <w:pPr>
        <w:pStyle w:val="BodyText"/>
      </w:pPr>
      <w:r>
        <w:rPr>
          <w:bCs/>
          <w:b/>
        </w:rPr>
        <w:t xml:space="preserve">Cross-references.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Supplement M*</w:t>
      </w:r>
      <w:r>
        <w:t xml:space="preserve">/</w:t>
      </w:r>
      <w:r>
        <w:rPr>
          <w:rStyle w:val="VerbatimChar"/>
        </w:rPr>
        <w:t xml:space="preserve">S*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Table M*</w:t>
      </w:r>
      <w:r>
        <w:t xml:space="preserve">/</w:t>
      </w:r>
      <w:r>
        <w:rPr>
          <w:rStyle w:val="VerbatimChar"/>
        </w:rPr>
        <w:t xml:space="preserve">S*</w:t>
      </w:r>
      <w:r>
        <w:t xml:space="preserve"> </w:t>
      </w:r>
      <w:r>
        <w:t xml:space="preserve">reference in</w:t>
      </w:r>
      <w:r>
        <w:t xml:space="preserve"> </w:t>
      </w:r>
      <w:r>
        <w:t xml:space="preserve">the manuscript, supplement and checklist resolves; no supplement section is</w:t>
      </w:r>
      <w:r>
        <w:t xml:space="preserve"> </w:t>
      </w:r>
      <w:r>
        <w:t xml:space="preserve">unreferenced; all 31 references are cited; tables 1–6 and figures 1–12 are each</w:t>
      </w:r>
      <w:r>
        <w:t xml:space="preserve"> </w:t>
      </w:r>
      <w:r>
        <w:t xml:space="preserve">defined exactly once; every</w:t>
      </w:r>
      <w:r>
        <w:t xml:space="preserve"> </w:t>
      </w:r>
      <w:r>
        <w:rPr>
          <w:rStyle w:val="VerbatimChar"/>
        </w:rPr>
        <w:t xml:space="preserve">Methods, *…*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Results, *…*</w:t>
      </w:r>
      <w:r>
        <w:t xml:space="preserve"> </w:t>
      </w:r>
      <w:r>
        <w:t xml:space="preserve">pointer names a</w:t>
      </w:r>
      <w:r>
        <w:t xml:space="preserve"> </w:t>
      </w:r>
      <w:r>
        <w:t xml:space="preserve">section that exists.</w:t>
      </w:r>
    </w:p>
    <w:p>
      <w:pPr>
        <w:pStyle w:val="BodyText"/>
      </w:pPr>
      <w:r>
        <w:rPr>
          <w:bCs/>
          <w:b/>
        </w:rPr>
        <w:t xml:space="preserve">Builds.</w:t>
      </w:r>
      <w:r>
        <w:t xml:space="preserve"> </w:t>
      </w:r>
      <w:r>
        <w:t xml:space="preserve">All four packet documents plus the three reserve documents build</w:t>
      </w:r>
      <w:r>
        <w:t xml:space="preserve"> </w:t>
      </w:r>
      <w:r>
        <w:t xml:space="preserve">clean.</w:t>
      </w:r>
    </w:p>
    <w:p>
      <w:r>
        <w:pict>
          <v:rect style="width:0;height:1.5pt" o:hralign="center" o:hrstd="t" o:hr="t"/>
        </w:pict>
      </w:r>
    </w:p>
    <w:bookmarkEnd w:id="36"/>
    <w:bookmarkStart w:id="37" w:name="the-religion-sensitivity-closed"/>
    <w:p>
      <w:pPr>
        <w:pStyle w:val="Heading2"/>
      </w:pPr>
      <w:r>
        <w:t xml:space="preserve">The religion sensitivity, closed</w:t>
      </w:r>
    </w:p>
    <w:p>
      <w:pPr>
        <w:pStyle w:val="FirstParagraph"/>
      </w:pPr>
      <w:r>
        <w:t xml:space="preserve">The last analysis this round asked for. His supplied supplementary methods wanted</w:t>
      </w:r>
      <w:r>
        <w:t xml:space="preserve"> </w:t>
      </w:r>
      <w:r>
        <w:t xml:space="preserve">a sensitivity analysis comparing retention of religion against its removal, and</w:t>
      </w:r>
      <w:r>
        <w:t xml:space="preserve"> </w:t>
      </w:r>
      <w:r>
        <w:t xml:space="preserve">the question is really about the</w:t>
      </w:r>
      <w:r>
        <w:t xml:space="preserve"> </w:t>
      </w:r>
      <w:r>
        <w:rPr>
          <w:iCs/>
          <w:i/>
        </w:rPr>
        <w:t xml:space="preserve">missingness</w:t>
      </w:r>
      <w:r>
        <w:t xml:space="preserve">: religion is unrecorded for 29.4%</w:t>
      </w:r>
      <w:r>
        <w:t xml:space="preserve"> </w:t>
      </w:r>
      <w:r>
        <w:t xml:space="preserve">of the cohort, differentially by age (43.8% at 18–29 against 17.5% at 65 or</w:t>
      </w:r>
      <w:r>
        <w:t xml:space="preserve"> </w:t>
      </w:r>
      <w:r>
        <w:t xml:space="preserve">older), and both representations make that absence readable, so a model can use</w:t>
      </w:r>
      <w:r>
        <w:t xml:space="preserve"> </w:t>
      </w:r>
      <w:r>
        <w:t xml:space="preserve">the field’s silence as an age proxy without using the field. Removing is not</w:t>
      </w:r>
      <w:r>
        <w:t xml:space="preserve"> </w:t>
      </w:r>
      <w:r>
        <w:t xml:space="preserve">permuting, which is why the ablation slate does not answer it.</w:t>
      </w:r>
    </w:p>
    <w:p>
      <w:pPr>
        <w:pStyle w:val="BodyText"/>
      </w:pPr>
      <w:r>
        <w:rPr>
          <w:bCs/>
          <w:b/>
        </w:rPr>
        <w:t xml:space="preserve">Closed 2026-09-03 as a null on all six contrasts.</w:t>
      </w:r>
      <w:r>
        <w:t xml:space="preserve"> </w:t>
      </w:r>
      <w:r>
        <w:t xml:space="preserve">The deciding pair — the</w:t>
      </w:r>
      <w:r>
        <w:t xml:space="preserve"> </w:t>
      </w:r>
      <w:r>
        <w:t xml:space="preserve">religion-free narratives against the parity round’s re-render-with-no-content-change</w:t>
      </w:r>
      <w:r>
        <w:t xml:space="preserve"> </w:t>
      </w:r>
      <w:r>
        <w:t xml:space="preserve">— are +0.0013 (95% CI −0.0017 to +0.0039) for logistic regression and −0.0031</w:t>
      </w:r>
      <w:r>
        <w:t xml:space="preserve"> </w:t>
      </w:r>
      <w:r>
        <w:t xml:space="preserve">(−0.0083 to +0.0024) for XGBoost; the feature arm is +0.0001 and +0.0002 with both</w:t>
      </w:r>
      <w:r>
        <w:t xml:space="preserve"> </w:t>
      </w:r>
      <w:r>
        <w:t xml:space="preserve">intervals inside ±0.0015 and both models on the published hyperparameters. By the</w:t>
      </w:r>
      <w:r>
        <w:t xml:space="preserve"> </w:t>
      </w:r>
      <w:r>
        <w:t xml:space="preserve">rule fixed on 2026-09-03 before the deciding numbers existed, the field is not</w:t>
      </w:r>
      <w:r>
        <w:t xml:space="preserve"> </w:t>
      </w:r>
      <w:r>
        <w:t xml:space="preserve">load-bearing, the write-up is held in reserve as</w:t>
      </w:r>
      <w:r>
        <w:t xml:space="preserve"> </w:t>
      </w:r>
      <w:r>
        <w:rPr>
          <w:rStyle w:val="VerbatimChar"/>
        </w:rPr>
        <w:t xml:space="preserve">../reserve/religion_sensitivity.md</w:t>
      </w:r>
      <w:r>
        <w:t xml:space="preserve"> </w:t>
      </w:r>
      <w:r>
        <w:t xml:space="preserve">with</w:t>
      </w:r>
      <w:r>
        <w:t xml:space="preserve"> </w:t>
      </w:r>
      <w:r>
        <w:t xml:space="preserve">its numbers in</w:t>
      </w:r>
      <w:r>
        <w:t xml:space="preserve"> </w:t>
      </w:r>
      <w:r>
        <w:rPr>
          <w:rStyle w:val="VerbatimChar"/>
        </w:rPr>
        <w:t xml:space="preserve">../reserve/religion_results/</w:t>
      </w:r>
      <w:r>
        <w:t xml:space="preserve">, and the packet gained two clauses and nothing</w:t>
      </w:r>
      <w:r>
        <w:t xml:space="preserve"> </w:t>
      </w:r>
      <w:r>
        <w:t xml:space="preserve">else: Supplement M6 no longer says no such analysis was performed, and TRIPOD item</w:t>
      </w:r>
      <w:r>
        <w:t xml:space="preserve"> </w:t>
      </w:r>
      <w:r>
        <w:t xml:space="preserve">11 carries it beside the parity vitals re-run in the same</w:t>
      </w:r>
      <w:r>
        <w:t xml:space="preserve"> </w:t>
      </w:r>
      <w:r>
        <w:t xml:space="preserve">“</w:t>
      </w:r>
      <w:r>
        <w:t xml:space="preserve">available from the</w:t>
      </w:r>
      <w:r>
        <w:t xml:space="preserve"> </w:t>
      </w:r>
      <w:r>
        <w:t xml:space="preserve">corresponding author</w:t>
      </w:r>
      <w:r>
        <w:t xml:space="preserve">”</w:t>
      </w:r>
      <w:r>
        <w:t xml:space="preserve"> </w:t>
      </w:r>
      <w:r>
        <w:t xml:space="preserve">form.</w:t>
      </w:r>
    </w:p>
    <w:bookmarkEnd w:id="37"/>
    <w:bookmarkStart w:id="42" w:name="X8c0d868b6dd91cebdcbb63267cdbb3e9207e454"/>
    <w:p>
      <w:pPr>
        <w:pStyle w:val="Heading2"/>
      </w:pPr>
      <w:r>
        <w:t xml:space="preserve">The follow-up of 2026-09-04, staged and not applied</w:t>
      </w:r>
    </w:p>
    <w:p>
      <w:pPr>
        <w:pStyle w:val="FirstParagraph"/>
      </w:pPr>
      <w:r>
        <w:t xml:space="preserve">A second, verbal round arrived on 2026-09-04, recorded in</w:t>
      </w:r>
      <w:r>
        <w:t xml:space="preserve"> </w:t>
      </w:r>
      <w:r>
        <w:rPr>
          <w:rStyle w:val="VerbatimChar"/>
        </w:rPr>
        <w:t xml:space="preserve">MP_review_latest.md</w:t>
      </w:r>
      <w:r>
        <w:t xml:space="preserve"> </w:t>
      </w:r>
      <w:r>
        <w:t xml:space="preserve">under</w:t>
      </w:r>
      <w:r>
        <w:t xml:space="preserve"> </w:t>
      </w:r>
      <w:r>
        <w:rPr>
          <w:iCs/>
          <w:i/>
        </w:rPr>
        <w:t xml:space="preserve">The follow-up conversation</w:t>
      </w:r>
      <w:r>
        <w:t xml:space="preserve">. It has a verdict on the prose and six</w:t>
      </w:r>
      <w:r>
        <w:t xml:space="preserve"> </w:t>
      </w:r>
      <w:r>
        <w:t xml:space="preserve">instructions.</w:t>
      </w:r>
      <w:r>
        <w:t xml:space="preserve"> </w:t>
      </w:r>
      <w:r>
        <w:rPr>
          <w:bCs/>
          <w:b/>
        </w:rPr>
        <w:t xml:space="preserve">Nothing is applied</w:t>
      </w:r>
      <w:r>
        <w:t xml:space="preserve">, because more rewritten sections are coming</w:t>
      </w:r>
      <w:r>
        <w:t xml:space="preserve"> </w:t>
      </w:r>
      <w:r>
        <w:t xml:space="preserve">and every item below would otherwise be done twice — once over our text and once</w:t>
      </w:r>
      <w:r>
        <w:t xml:space="preserve"> </w:t>
      </w:r>
      <w:r>
        <w:t xml:space="preserve">over his.</w:t>
      </w:r>
    </w:p>
    <w:bookmarkStart w:id="38" w:name="the-prose-verdict-and-what-it-costs"/>
    <w:p>
      <w:pPr>
        <w:pStyle w:val="Heading3"/>
      </w:pPr>
      <w:r>
        <w:t xml:space="preserve">The prose verdict, and what it costs</w:t>
      </w:r>
    </w:p>
    <w:p>
      <w:pPr>
        <w:pStyle w:val="FirstParagraph"/>
      </w:pPr>
      <w:r>
        <w:t xml:space="preserve">The complaint is that the writing is dense: correct, but machine-sounding, and a</w:t>
      </w:r>
      <w:r>
        <w:t xml:space="preserve"> </w:t>
      </w:r>
      <w:r>
        <w:t xml:space="preserve">sentence has to be read three times to give up its meaning. He disputed no number</w:t>
      </w:r>
      <w:r>
        <w:t xml:space="preserve"> </w:t>
      </w:r>
      <w:r>
        <w:t xml:space="preserve">and no claim.</w:t>
      </w:r>
    </w:p>
    <w:p>
      <w:pPr>
        <w:pStyle w:val="BodyText"/>
      </w:pPr>
      <w:r>
        <w:t xml:space="preserve">It is measurable. Over the body text (abstract through conclusions, tables and</w:t>
      </w:r>
      <w:r>
        <w:t xml:space="preserve"> </w:t>
      </w:r>
      <w:r>
        <w:t xml:space="preserve">figure captions excluded):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/>
        </w:tc>
        <w:tc>
          <w:p>
            <w:pPr>
              <w:pStyle w:val="Compact"/>
              <w:jc w:val="right"/>
            </w:pPr>
            <w:r>
              <w:t xml:space="preserve">Manuscript</w:t>
            </w:r>
          </w:p>
        </w:tc>
        <w:tc>
          <w:p>
            <w:pPr>
              <w:pStyle w:val="Compact"/>
              <w:jc w:val="right"/>
            </w:pPr>
            <w:r>
              <w:t xml:space="preserve">Readable 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Sentences</w:t>
            </w:r>
          </w:p>
        </w:tc>
        <w:tc>
          <w:p>
            <w:pPr>
              <w:pStyle w:val="Compact"/>
              <w:jc w:val="right"/>
            </w:pPr>
            <w:r>
              <w:t xml:space="preserve">311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Mean length</w:t>
            </w:r>
          </w:p>
        </w:tc>
        <w:tc>
          <w:p>
            <w:pPr>
              <w:pStyle w:val="Compact"/>
              <w:jc w:val="right"/>
            </w:pPr>
            <w:r>
              <w:t xml:space="preserve">26.2 words</w:t>
            </w:r>
          </w:p>
        </w:tc>
        <w:tc>
          <w:p>
            <w:pPr>
              <w:pStyle w:val="Compact"/>
              <w:jc w:val="right"/>
            </w:pPr>
            <w:r>
              <w:t xml:space="preserve">18-20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Median</w:t>
            </w:r>
          </w:p>
        </w:tc>
        <w:tc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p>
            <w:pPr>
              <w:pStyle w:val="Compact"/>
              <w:jc w:val="right"/>
            </w:pPr>
            <w:r>
              <w:t xml:space="preserve">17-18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Over 35 words</w:t>
            </w:r>
          </w:p>
        </w:tc>
        <w:tc>
          <w:p>
            <w:pPr>
              <w:pStyle w:val="Compact"/>
              <w:jc w:val="right"/>
            </w:pPr>
            <w:r>
              <w:t xml:space="preserve">23%</w:t>
            </w:r>
          </w:p>
        </w:tc>
        <w:tc>
          <w:p>
            <w:pPr>
              <w:pStyle w:val="Compact"/>
              <w:jc w:val="right"/>
            </w:pPr>
            <w:r>
              <w:t xml:space="preserve">under 10%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Longest</w:t>
            </w:r>
          </w:p>
        </w:tc>
        <w:tc>
          <w:p>
            <w:pPr>
              <w:pStyle w:val="Compact"/>
              <w:jc w:val="right"/>
            </w:pPr>
            <w:r>
              <w:t xml:space="preserve">86 words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Semicolons</w:t>
            </w:r>
          </w:p>
        </w:tc>
        <w:tc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p>
            <w:pPr>
              <w:pStyle w:val="Compact"/>
              <w:jc w:val="right"/>
            </w:pPr>
            <w:r>
              <w:t xml:space="preserve">a dozen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Em-dashes</w:t>
            </w:r>
          </w:p>
        </w:tc>
        <w:tc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p>
            <w:pPr>
              <w:pStyle w:val="Compact"/>
              <w:jc w:val="right"/>
            </w:pPr>
            <w:r>
              <w:t xml:space="preserve">a handful</w:t>
            </w:r>
          </w:p>
        </w:tc>
      </w:tr>
    </w:tbl>
    <w:p>
      <w:pPr>
        <w:pStyle w:val="BodyText"/>
      </w:pPr>
      <w:r>
        <w:t xml:space="preserve">The punctuation counts are the diagnosis. Each semicolon and each em-dash aside</w:t>
      </w:r>
      <w:r>
        <w:t xml:space="preserve"> </w:t>
      </w:r>
      <w:r>
        <w:t xml:space="preserve">is a second or third claim welded into a sentence that already carried one, so</w:t>
      </w:r>
      <w:r>
        <w:t xml:space="preserve"> </w:t>
      </w:r>
      <w:r>
        <w:t xml:space="preserve">the reader has to hold a subject in memory across twenty words before the verb</w:t>
      </w:r>
      <w:r>
        <w:t xml:space="preserve"> </w:t>
      </w:r>
      <w:r>
        <w:t xml:space="preserve">resolves. Four habits produce it, and all four are mechanical: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Claim, qualification and interpretation in one sentence.</w:t>
      </w:r>
      <w:r>
        <w:t xml:space="preserve"> </w:t>
      </w:r>
      <w:r>
        <w:t xml:space="preserve">Results,</w:t>
      </w:r>
      <w:r>
        <w:t xml:space="preserve"> </w:t>
      </w:r>
      <w:r>
        <w:rPr>
          <w:iCs/>
          <w:i/>
        </w:rPr>
        <w:t xml:space="preserve">Model discrimination</w:t>
      </w:r>
      <w:r>
        <w:t xml:space="preserve">:</w:t>
      </w:r>
      <w:r>
        <w:t xml:space="preserve"> </w:t>
      </w:r>
      <w:r>
        <w:t xml:space="preserve">“</w:t>
      </w:r>
      <w:r>
        <w:t xml:space="preserve">A paired bootstrap directly comparing these</w:t>
      </w:r>
      <w:r>
        <w:t xml:space="preserve"> </w:t>
      </w:r>
      <w:r>
        <w:t xml:space="preserve">best-in-class models — the appropriate test, since both representations score</w:t>
      </w:r>
      <w:r>
        <w:t xml:space="preserve"> </w:t>
      </w:r>
      <w:r>
        <w:t xml:space="preserve">the same held-out patients — yielded a non-significant difference of +0.008</w:t>
      </w:r>
      <w:r>
        <w:t xml:space="preserve"> </w:t>
      </w:r>
      <w:r>
        <w:t xml:space="preserve">AUC (95% CI -0.003 to +0.019; Figure 3B). That interval is roughly a third the</w:t>
      </w:r>
      <w:r>
        <w:t xml:space="preserve"> </w:t>
      </w:r>
      <w:r>
        <w:t xml:space="preserve">width of the marginal ones, so it reflects a genuine absence of advantage</w:t>
      </w:r>
      <w:r>
        <w:t xml:space="preserve"> </w:t>
      </w:r>
      <w:r>
        <w:t xml:space="preserve">rather than insufficient power: the data exclude any embedded gain larger than</w:t>
      </w:r>
      <w:r>
        <w:t xml:space="preserve"> </w:t>
      </w:r>
      <w:r>
        <w:t xml:space="preserve">about 0.02 AUC.</w:t>
      </w:r>
      <w:r>
        <w:t xml:space="preserve">”</w:t>
      </w:r>
      <w:r>
        <w:t xml:space="preserve"> </w:t>
      </w:r>
      <w:r>
        <w:t xml:space="preserve">Two sentences, five claims. The same content, unpacked:</w:t>
      </w:r>
      <w:r>
        <w:t xml:space="preserve"> </w:t>
      </w:r>
      <w:r>
        <w:t xml:space="preserve">“</w:t>
      </w:r>
      <w:r>
        <w:t xml:space="preserve">Both representations score the same held-out patients, so we compared the two</w:t>
      </w:r>
      <w:r>
        <w:t xml:space="preserve"> </w:t>
      </w:r>
      <w:r>
        <w:t xml:space="preserve">best models with a paired bootstrap. The difference was +0.008 AUC (95% CI</w:t>
      </w:r>
      <w:r>
        <w:t xml:space="preserve"> </w:t>
      </w:r>
      <w:r>
        <w:t xml:space="preserve">-0.003 to +0.019; Figure 3B). This interval is about a third as wide as the</w:t>
      </w:r>
      <w:r>
        <w:t xml:space="preserve"> </w:t>
      </w:r>
      <w:r>
        <w:t xml:space="preserve">separate intervals in Figure 3A. The comparison is therefore precise enough to</w:t>
      </w:r>
      <w:r>
        <w:t xml:space="preserve"> </w:t>
      </w:r>
      <w:r>
        <w:t xml:space="preserve">rule out any embedding gain above roughly 0.02 AUC — an absence of advantage,</w:t>
      </w:r>
      <w:r>
        <w:t xml:space="preserve"> </w:t>
      </w:r>
      <w:r>
        <w:t xml:space="preserve">not a shortage of data.</w:t>
      </w:r>
      <w:r>
        <w:t xml:space="preserve">”</w:t>
      </w:r>
      <w:r>
        <w:t xml:space="preserve"> </w:t>
      </w:r>
      <w:r>
        <w:t xml:space="preserve">Four sentences, no number moved, nothing hedged away.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Sentences that describe the argument instead of making it.</w:t>
      </w:r>
      <w:r>
        <w:t xml:space="preserve"> </w:t>
      </w:r>
      <w:r>
        <w:t xml:space="preserve">“</w:t>
      </w:r>
      <w:r>
        <w:t xml:space="preserve">This</w:t>
      </w:r>
      <w:r>
        <w:t xml:space="preserve"> </w:t>
      </w:r>
      <w:r>
        <w:t xml:space="preserve">highlights a fundamental methodological vulnerability: unless strict temporal</w:t>
      </w:r>
      <w:r>
        <w:t xml:space="preserve"> </w:t>
      </w:r>
      <w:r>
        <w:t xml:space="preserve">separation is enforced …</w:t>
      </w:r>
      <w:r>
        <w:t xml:space="preserve">”</w:t>
      </w:r>
      <w:r>
        <w:t xml:space="preserve"> </w:t>
      </w:r>
      <w:r>
        <w:t xml:space="preserve">states that a point is about to be made. Make it.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Abstraction where a picture would serve.</w:t>
      </w:r>
      <w:r>
        <w:t xml:space="preserve"> </w:t>
      </w:r>
      <w:r>
        <w:t xml:space="preserve">“</w:t>
      </w:r>
      <w:r>
        <w:t xml:space="preserve">Dense latent coordinates</w:t>
      </w:r>
      <w:r>
        <w:t xml:space="preserve"> </w:t>
      </w:r>
      <w:r>
        <w:t xml:space="preserve">distribute information in a form naturally accommodated by a regularized</w:t>
      </w:r>
      <w:r>
        <w:t xml:space="preserve"> </w:t>
      </w:r>
      <w:r>
        <w:t xml:space="preserve">linear combination, whereas one-coordinate-at-a-time tree splits no longer</w:t>
      </w:r>
      <w:r>
        <w:t xml:space="preserve"> </w:t>
      </w:r>
      <w:r>
        <w:t xml:space="preserve">operate on individually meaningful clinical variables</w:t>
      </w:r>
      <w:r>
        <w:t xml:space="preserve">”</w:t>
      </w:r>
      <w:r>
        <w:t xml:space="preserve"> </w:t>
      </w:r>
      <w:r>
        <w:t xml:space="preserve">is three concrete</w:t>
      </w:r>
      <w:r>
        <w:t xml:space="preserve"> </w:t>
      </w:r>
      <w:r>
        <w:t xml:space="preserve">sentences wearing a coat.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Stacked hedges.</w:t>
      </w:r>
      <w:r>
        <w:t xml:space="preserve"> </w:t>
      </w:r>
      <w:r>
        <w:t xml:space="preserve">One null defended three ways in a single sentence. State</w:t>
      </w:r>
      <w:r>
        <w:t xml:space="preserve"> </w:t>
      </w:r>
      <w:r>
        <w:t xml:space="preserve">the null once, then state its bound once.</w:t>
      </w:r>
    </w:p>
    <w:p>
      <w:pPr>
        <w:pStyle w:val="FirstParagraph"/>
      </w:pPr>
      <w:r>
        <w:rPr>
          <w:bCs/>
          <w:b/>
        </w:rPr>
        <w:t xml:space="preserve">The collision to raise with him.</w:t>
      </w:r>
      <w:r>
        <w:t xml:space="preserve"> </w:t>
      </w:r>
      <w:r>
        <w:t xml:space="preserve">Comment 84 cut Methods from 6,057 words to</w:t>
      </w:r>
      <w:r>
        <w:t xml:space="preserve"> </w:t>
      </w:r>
      <w:r>
        <w:t xml:space="preserve">1,851, and compression is what produces density. Shorter and less dense are not</w:t>
      </w:r>
      <w:r>
        <w:t xml:space="preserve"> </w:t>
      </w:r>
      <w:r>
        <w:t xml:space="preserve">the same instruction. The resolution is fewer claims with more room each, which</w:t>
      </w:r>
      <w:r>
        <w:t xml:space="preserve"> </w:t>
      </w:r>
      <w:r>
        <w:t xml:space="preserve">costs lines: four short sentences occupy more page than one long one. That is</w:t>
      </w:r>
      <w:r>
        <w:t xml:space="preserve"> </w:t>
      </w:r>
      <w:r>
        <w:t xml:space="preserve">what the Supplement M1-M13 structure is for — the main text carries the claim and</w:t>
      </w:r>
      <w:r>
        <w:t xml:space="preserve"> </w:t>
      </w:r>
      <w:r>
        <w:t xml:space="preserve">the M-section carries the machinery.</w:t>
      </w:r>
    </w:p>
    <w:p>
      <w:pPr>
        <w:pStyle w:val="BodyText"/>
      </w:pPr>
      <w:r>
        <w:rPr>
          <w:bCs/>
          <w:b/>
        </w:rPr>
        <w:t xml:space="preserve">The procedure, for when his sections land.</w:t>
      </w:r>
      <w:r>
        <w:t xml:space="preserve"> </w:t>
      </w:r>
      <w:r>
        <w:t xml:space="preserve">Numbers are frozen before any</w:t>
      </w:r>
      <w:r>
        <w:t xml:space="preserve"> </w:t>
      </w:r>
      <w:r>
        <w:t xml:space="preserve">plain-language pass, and no such pass re-derives a value. Simplification runs</w:t>
      </w:r>
      <w:r>
        <w:t xml:space="preserve"> </w:t>
      </w:r>
      <w:r>
        <w:t xml:space="preserve">one subsection at a time against an explicit budget (word count, median sentence</w:t>
      </w:r>
      <w:r>
        <w:t xml:space="preserve"> </w:t>
      </w:r>
      <w:r>
        <w:t xml:space="preserve">length, semicolon allowance) rather than an adjective. During that pass: no</w:t>
      </w:r>
      <w:r>
        <w:t xml:space="preserve"> </w:t>
      </w:r>
      <w:r>
        <w:t xml:space="preserve">em-dash aside inside a main clause, at most one subordinate clause per sentence,</w:t>
      </w:r>
      <w:r>
        <w:t xml:space="preserve"> </w:t>
      </w:r>
      <w:r>
        <w:t xml:space="preserve">no sentence whose only job is to introduce the next one, one hedge per claim in</w:t>
      </w:r>
      <w:r>
        <w:t xml:space="preserve"> </w:t>
      </w:r>
      <w:r>
        <w:t xml:space="preserve">its own sentence, verbs rather than nominalizations. Acceptance test is reading</w:t>
      </w:r>
      <w:r>
        <w:t xml:space="preserve"> </w:t>
      </w:r>
      <w:r>
        <w:t xml:space="preserve">it aloud. The last pass is the first author’s own hand, for rhythm — three</w:t>
      </w:r>
      <w:r>
        <w:t xml:space="preserve"> </w:t>
      </w:r>
      <w:r>
        <w:t xml:space="preserve">sentences broken differently than a machine would break them is the cheapest</w:t>
      </w:r>
      <w:r>
        <w:t xml:space="preserve"> </w:t>
      </w:r>
      <w:r>
        <w:t xml:space="preserve">thing that stops prose sounding generated.</w:t>
      </w:r>
    </w:p>
    <w:bookmarkEnd w:id="38"/>
    <w:bookmarkStart w:id="39" w:name="Xf09452140754fa6b2454e558b8bb6ca43496665"/>
    <w:p>
      <w:pPr>
        <w:pStyle w:val="Heading3"/>
      </w:pPr>
      <w:r>
        <w:t xml:space="preserve">The three word changes, with their exclusions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c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p>
            <w:pPr>
              <w:pStyle w:val="Compact"/>
              <w:jc w:val="left"/>
            </w:pPr>
            <w:r>
              <w:t xml:space="preserve">To</w:t>
            </w:r>
          </w:p>
        </w:tc>
        <w:tc>
          <w:p>
            <w:pPr>
              <w:pStyle w:val="Compact"/>
              <w:jc w:val="right"/>
            </w:pPr>
            <w:r>
              <w:t xml:space="preserve">Occurrences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deterministic</w:t>
            </w:r>
          </w:p>
        </w:tc>
        <w:tc>
          <w:p>
            <w:pPr>
              <w:pStyle w:val="Compact"/>
              <w:jc w:val="left"/>
            </w:pPr>
            <w:r>
              <w:t xml:space="preserve">algorithmic</w:t>
            </w:r>
          </w:p>
        </w:tc>
        <w:tc>
          <w:p>
            <w:pPr>
              <w:pStyle w:val="Compact"/>
              <w:jc w:val="right"/>
            </w:pPr>
            <w:r>
              <w:t xml:space="preserve">18 — manuscript 8, supplement 7, checklist 2, cover letter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patient</w:t>
            </w:r>
          </w:p>
        </w:tc>
        <w:tc>
          <w:p>
            <w:pPr>
              <w:pStyle w:val="Compact"/>
              <w:jc w:val="left"/>
            </w:pPr>
            <w:r>
              <w:t xml:space="preserve">participant</w:t>
            </w:r>
          </w:p>
        </w:tc>
        <w:tc>
          <w:p>
            <w:pPr>
              <w:pStyle w:val="Compact"/>
              <w:jc w:val="right"/>
            </w:pPr>
            <w:r>
              <w:t xml:space="preserve">~261 — manuscript 101, supplement 136, checklist 18, cover letter 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trained classifier</w:t>
            </w:r>
          </w:p>
        </w:tc>
        <w:tc>
          <w:p>
            <w:pPr>
              <w:pStyle w:val="Compact"/>
              <w:jc w:val="left"/>
            </w:pPr>
            <w:r>
              <w:t xml:space="preserve">machine learning model</w:t>
            </w:r>
          </w:p>
        </w:tc>
        <w:tc>
          <w:p>
            <w:pPr>
              <w:pStyle w:val="Compact"/>
              <w:jc w:val="right"/>
            </w:pPr>
            <w:r>
              <w:t xml:space="preserve">4 — manuscript 3, supplement 1</w:t>
            </w:r>
          </w:p>
        </w:tc>
      </w:tr>
    </w:tbl>
    <w:p>
      <w:pPr>
        <w:pStyle w:val="BodyText"/>
      </w:pPr>
      <w:r>
        <w:rPr>
          <w:bCs/>
          <w:b/>
        </w:rPr>
        <w:t xml:space="preserve">Deterministic.</w:t>
      </w:r>
      <w:r>
        <w:t xml:space="preserve"> </w:t>
      </w:r>
      <w:r>
        <w:t xml:space="preserve">Not a swap. It follows comment [35], whose stated reason —</w:t>
      </w:r>
      <w:r>
        <w:t xml:space="preserve"> </w:t>
      </w:r>
      <w:r>
        <w:t xml:space="preserve">“</w:t>
      </w:r>
      <w:r>
        <w:t xml:space="preserve">you had the GPT generate it</w:t>
      </w:r>
      <w:r>
        <w:t xml:space="preserve">”</w:t>
      </w:r>
      <w:r>
        <w:t xml:space="preserve"> </w:t>
      </w:r>
      <w:r>
        <w:t xml:space="preserve">— is wrong on the facts: fixed rules write the</w:t>
      </w:r>
      <w:r>
        <w:t xml:space="preserve"> </w:t>
      </w:r>
      <w:r>
        <w:t xml:space="preserve">narrative, no generative model participates, and that is what the word carried.</w:t>
      </w:r>
      <w:r>
        <w:t xml:space="preserve"> </w:t>
      </w:r>
      <w:r>
        <w:t xml:space="preserve">It is also load-bearing in the</w:t>
      </w:r>
      <w:r>
        <w:t xml:space="preserve"> </w:t>
      </w:r>
      <w:r>
        <w:rPr>
          <w:rStyle w:val="VerbatimChar"/>
        </w:rPr>
        <w:t xml:space="preserve">manuscript.md</w:t>
      </w:r>
      <w:r>
        <w:t xml:space="preserve"> </w:t>
      </w:r>
      <w:r>
        <w:t xml:space="preserve">header rule, where it is the</w:t>
      </w:r>
      <w:r>
        <w:t xml:space="preserve"> </w:t>
      </w:r>
      <w:r>
        <w:t xml:space="preserve">sanctioned word for that claim and the reason</w:t>
      </w:r>
      <w:r>
        <w:t xml:space="preserve"> </w:t>
      </w:r>
      <w:r>
        <w:t xml:space="preserve">“</w:t>
      </w:r>
      <w:r>
        <w:t xml:space="preserve">rule-based</w:t>
      </w:r>
      <w:r>
        <w:t xml:space="preserve">”</w:t>
      </w:r>
      <w:r>
        <w:t xml:space="preserve"> </w:t>
      </w:r>
      <w:r>
        <w:t xml:space="preserve">was banned. Taking</w:t>
      </w:r>
      <w:r>
        <w:t xml:space="preserve"> </w:t>
      </w:r>
      <w:r>
        <w:t xml:space="preserve">“</w:t>
      </w:r>
      <w:r>
        <w:t xml:space="preserve">algorithmic</w:t>
      </w:r>
      <w:r>
        <w:t xml:space="preserve">”</w:t>
      </w:r>
      <w:r>
        <w:t xml:space="preserve"> </w:t>
      </w:r>
      <w:r>
        <w:t xml:space="preserve">means rewriting that rule in the same edit and keeping the fact in</w:t>
      </w:r>
      <w:r>
        <w:t xml:space="preserve"> </w:t>
      </w:r>
      <w:r>
        <w:t xml:space="preserve">a clause — written by fixed rules, no generative model participating — or the</w:t>
      </w:r>
      <w:r>
        <w:t xml:space="preserve"> </w:t>
      </w:r>
      <w:r>
        <w:t xml:space="preserve">next editor restores the old word as a naming violation. Supplement M5’s heading</w:t>
      </w:r>
      <w:r>
        <w:t xml:space="preserve"> </w:t>
      </w:r>
      <w:r>
        <w:t xml:space="preserve">carries it too.</w:t>
      </w:r>
    </w:p>
    <w:p>
      <w:pPr>
        <w:pStyle w:val="BodyText"/>
      </w:pPr>
      <w:r>
        <w:rPr>
          <w:bCs/>
          <w:b/>
        </w:rPr>
        <w:t xml:space="preserve">Patient.</w:t>
      </w:r>
      <w:r>
        <w:t xml:space="preserve"> </w:t>
      </w:r>
      <w:r>
        <w:t xml:space="preserve">Mechanical, and trap-laden. Four exclusions: the</w:t>
      </w:r>
      <w:r>
        <w:t xml:space="preserve"> </w:t>
      </w:r>
      <w:r>
        <w:rPr>
          <w:bCs/>
          <w:b/>
        </w:rPr>
        <w:t xml:space="preserve">title</w:t>
      </w:r>
      <w:r>
        <w:t xml:space="preserve"> </w:t>
      </w:r>
      <w:r>
        <w:t xml:space="preserve">carries</w:t>
      </w:r>
      <w:r>
        <w:t xml:space="preserve"> </w:t>
      </w:r>
      <w:r>
        <w:t xml:space="preserve">“</w:t>
      </w:r>
      <w:r>
        <w:t xml:space="preserve">Patient Narratives</w:t>
      </w:r>
      <w:r>
        <w:t xml:space="preserve">”</w:t>
      </w:r>
      <w:r>
        <w:t xml:space="preserve"> </w:t>
      </w:r>
      <w:r>
        <w:t xml:space="preserve">and propagates to the cover letter and the checklist, so</w:t>
      </w:r>
      <w:r>
        <w:t xml:space="preserve"> </w:t>
      </w:r>
      <w:r>
        <w:t xml:space="preserve">changing it is an authors’ decision rather than a sweep;</w:t>
      </w:r>
      <w:r>
        <w:t xml:space="preserve"> </w:t>
      </w:r>
      <w:r>
        <w:rPr>
          <w:bCs/>
          <w:b/>
        </w:rPr>
        <w:t xml:space="preserve">Supplement S6</w:t>
      </w:r>
      <w:r>
        <w:t xml:space="preserve"> </w:t>
      </w:r>
      <w:r>
        <w:t xml:space="preserve">reproduces narratives verbatim and already holds the precedent for not</w:t>
      </w:r>
      <w:r>
        <w:t xml:space="preserve"> </w:t>
      </w:r>
      <w:r>
        <w:t xml:space="preserve">re-labelling the renderer’s own output (</w:t>
      </w:r>
      <w:r>
        <w:rPr>
          <w:rStyle w:val="VerbatimChar"/>
        </w:rPr>
        <w:t xml:space="preserve">MDD-to-anchor gap</w:t>
      </w:r>
      <w:r>
        <w:t xml:space="preserve">); quoted wording from</w:t>
      </w:r>
      <w:r>
        <w:t xml:space="preserve"> </w:t>
      </w:r>
      <w:r>
        <w:t xml:space="preserve">prior studies in</w:t>
      </w:r>
      <w:r>
        <w:t xml:space="preserve"> </w:t>
      </w:r>
      <w:r>
        <w:rPr>
          <w:iCs/>
          <w:i/>
        </w:rPr>
        <w:t xml:space="preserve">Comparison with prior work</w:t>
      </w:r>
      <w:r>
        <w:t xml:space="preserve"> </w:t>
      </w:r>
      <w:r>
        <w:t xml:space="preserve">stays as published; and figure</w:t>
      </w:r>
      <w:r>
        <w:t xml:space="preserve"> </w:t>
      </w:r>
      <w:r>
        <w:t xml:space="preserve">captions must not diverge from text baked into the PNGs. On that last one, the</w:t>
      </w:r>
      <w:r>
        <w:t xml:space="preserve"> </w:t>
      </w:r>
      <w:r>
        <w:t xml:space="preserve">plotting scripts and the cohort notebook were checked —</w:t>
      </w:r>
      <w:r>
        <w:t xml:space="preserve"> </w:t>
      </w:r>
      <w:r>
        <w:t xml:space="preserve">“</w:t>
      </w:r>
      <w:r>
        <w:t xml:space="preserve">patients</w:t>
      </w:r>
      <w:r>
        <w:t xml:space="preserve">”</w:t>
      </w:r>
      <w:r>
        <w:t xml:space="preserve"> </w:t>
      </w:r>
      <w:r>
        <w:t xml:space="preserve">appears in</w:t>
      </w:r>
      <w:r>
        <w:t xml:space="preserve"> </w:t>
      </w:r>
      <w:r>
        <w:t xml:space="preserve">comments and docstrings, and the axis labels in use are generic (Days, Density,</w:t>
      </w:r>
      <w:r>
        <w:t xml:space="preserve"> </w:t>
      </w:r>
      <w:r>
        <w:t xml:space="preserve">Frequency) — so no figure is expected to need redrawing, but that gets re-checked</w:t>
      </w:r>
      <w:r>
        <w:t xml:space="preserve"> </w:t>
      </w:r>
      <w:r>
        <w:t xml:space="preserve">against the built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before the change, not after.</w:t>
      </w:r>
    </w:p>
    <w:p>
      <w:pPr>
        <w:pStyle w:val="BodyText"/>
      </w:pPr>
      <w:r>
        <w:rPr>
          <w:bCs/>
          <w:b/>
        </w:rPr>
        <w:t xml:space="preserve">Trained classifier.</w:t>
      </w:r>
      <w:r>
        <w:t xml:space="preserve"> </w:t>
      </w:r>
      <w:r>
        <w:t xml:space="preserve">Cheap, and it destroys a distinction in at least two of</w:t>
      </w:r>
      <w:r>
        <w:t xml:space="preserve"> </w:t>
      </w:r>
      <w:r>
        <w:t xml:space="preserve">the four uses, where the phrase exists to contrast the fitted models with the</w:t>
      </w:r>
      <w:r>
        <w:t xml:space="preserve"> </w:t>
      </w:r>
      <w:r>
        <w:t xml:space="preserve">neighbor-weighted predictor, which fits nothing.</w:t>
      </w:r>
      <w:r>
        <w:t xml:space="preserve"> </w:t>
      </w:r>
      <w:r>
        <w:t xml:space="preserve">“</w:t>
      </w:r>
      <w:r>
        <w:t xml:space="preserve">Machine learning model</w:t>
      </w:r>
      <w:r>
        <w:t xml:space="preserve">”</w:t>
      </w:r>
      <w:r>
        <w:t xml:space="preserve"> </w:t>
      </w:r>
      <w:r>
        <w:t xml:space="preserve">covers</w:t>
      </w:r>
      <w:r>
        <w:t xml:space="preserve"> </w:t>
      </w:r>
      <w:r>
        <w:t xml:space="preserve">both arms and the contrast dissolves. Take the term where it is generic; where</w:t>
      </w:r>
      <w:r>
        <w:t xml:space="preserve"> </w:t>
      </w:r>
      <w:r>
        <w:t xml:space="preserve">the contrast is the point, say</w:t>
      </w:r>
      <w:r>
        <w:t xml:space="preserve"> </w:t>
      </w:r>
      <w:r>
        <w:t xml:space="preserve">“</w:t>
      </w:r>
      <w:r>
        <w:t xml:space="preserve">the fitted models</w:t>
      </w:r>
      <w:r>
        <w:t xml:space="preserve">”</w:t>
      </w:r>
      <w:r>
        <w:t xml:space="preserve"> </w:t>
      </w:r>
      <w:r>
        <w:t xml:space="preserve">against</w:t>
      </w:r>
      <w:r>
        <w:t xml:space="preserve"> </w:t>
      </w:r>
      <w:r>
        <w:t xml:space="preserve">“</w:t>
      </w:r>
      <w:r>
        <w:t xml:space="preserve">the neighbor-weighted</w:t>
      </w:r>
      <w:r>
        <w:t xml:space="preserve"> </w:t>
      </w:r>
      <w:r>
        <w:t xml:space="preserve">predictor</w:t>
      </w:r>
      <w:r>
        <w:t xml:space="preserve">”</w:t>
      </w:r>
      <w:r>
        <w:t xml:space="preserve">.</w:t>
      </w:r>
    </w:p>
    <w:bookmarkEnd w:id="39"/>
    <w:bookmarkStart w:id="40" w:name="two-sections-to-reserve"/>
    <w:p>
      <w:pPr>
        <w:pStyle w:val="Heading3"/>
      </w:pPr>
      <w:r>
        <w:t xml:space="preserve">Two sections to reserve</w:t>
      </w:r>
    </w:p>
    <w:p>
      <w:pPr>
        <w:pStyle w:val="FirstParagraph"/>
      </w:pPr>
      <w:r>
        <w:t xml:space="preserve">Both are</w:t>
      </w:r>
      <w:r>
        <w:t xml:space="preserve"> </w:t>
      </w:r>
      <w:r>
        <w:rPr>
          <w:bCs/>
          <w:b/>
        </w:rPr>
        <w:t xml:space="preserve">reserved, not cut</w:t>
      </w:r>
      <w:r>
        <w:t xml:space="preserve"> </w:t>
      </w:r>
      <w:r>
        <w:t xml:space="preserve">— the reserve folder already holds four documents</w:t>
      </w:r>
      <w:r>
        <w:t xml:space="preserve"> </w:t>
      </w:r>
      <w:r>
        <w:t xml:space="preserve">under the same rule, and these join them.</w:t>
      </w:r>
    </w:p>
    <w:p>
      <w:pPr>
        <w:pStyle w:val="BodyText"/>
      </w:pPr>
      <w:r>
        <w:rPr>
          <w:bCs/>
          <w:b/>
        </w:rPr>
        <w:t xml:space="preserve">The cosine-similarity bimodality</w:t>
      </w:r>
      <w:r>
        <w:t xml:space="preserve">, Supplement S5 in full: the</w:t>
      </w:r>
      <w:r>
        <w:t xml:space="preserve"> </w:t>
      </w:r>
      <w:r>
        <w:t xml:space="preserve">bge-small-en-v1.5 artifact, Figure S4, Figure S5, Table S5. One live main-text</w:t>
      </w:r>
      <w:r>
        <w:t xml:space="preserve"> </w:t>
      </w:r>
      <w:r>
        <w:t xml:space="preserve">pointer, in Results,</w:t>
      </w:r>
      <w:r>
        <w:t xml:space="preserve"> </w:t>
      </w:r>
      <w:r>
        <w:rPr>
          <w:iCs/>
          <w:i/>
        </w:rPr>
        <w:t xml:space="preserve">Embedder comparison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The fusion analysis</w:t>
      </w:r>
      <w:r>
        <w:t xml:space="preserve">, Supplement S7 in full: Table S6, Figures S6-S7. Four</w:t>
      </w:r>
      <w:r>
        <w:t xml:space="preserve"> </w:t>
      </w:r>
      <w:r>
        <w:t xml:space="preserve">live cross-references — the single pointer sentence in Results,</w:t>
      </w:r>
      <w:r>
        <w:t xml:space="preserve"> </w:t>
      </w:r>
      <w:r>
        <w:rPr>
          <w:iCs/>
          <w:i/>
        </w:rPr>
        <w:t xml:space="preserve">Neighbor-weighted prediction</w:t>
      </w:r>
      <w:r>
        <w:t xml:space="preserve">; the future-directions clause in Discussion,</w:t>
      </w:r>
      <w:r>
        <w:t xml:space="preserve"> </w:t>
      </w:r>
      <w:r>
        <w:rPr>
          <w:iCs/>
          <w:i/>
        </w:rPr>
        <w:t xml:space="preserve">Implications for validation and clinical use</w:t>
      </w:r>
      <w:r>
        <w:t xml:space="preserve">, which is worth keeping since</w:t>
      </w:r>
      <w:r>
        <w:t xml:space="preserve"> </w:t>
      </w:r>
      <w:r>
        <w:t xml:space="preserve">fusion across</w:t>
      </w:r>
      <w:r>
        <w:t xml:space="preserve"> </w:t>
      </w:r>
      <w:r>
        <w:rPr>
          <w:iCs/>
          <w:i/>
        </w:rPr>
        <w:t xml:space="preserve">differing</w:t>
      </w:r>
      <w:r>
        <w:t xml:space="preserve"> </w:t>
      </w:r>
      <w:r>
        <w:t xml:space="preserve">representations is the untested and more promising</w:t>
      </w:r>
      <w:r>
        <w:t xml:space="preserve"> </w:t>
      </w:r>
      <w:r>
        <w:t xml:space="preserve">version; and checklist items 12e and 27c. Varma &amp; Simon is cited inline there and</w:t>
      </w:r>
      <w:r>
        <w:t xml:space="preserve"> </w:t>
      </w:r>
      <w:r>
        <w:t xml:space="preserve">leaves the packet with it, which costs nothing — it left the numbered reference</w:t>
      </w:r>
      <w:r>
        <w:t xml:space="preserve"> </w:t>
      </w:r>
      <w:r>
        <w:t xml:space="preserve">list on 2026-08-21.</w:t>
      </w:r>
    </w:p>
    <w:p>
      <w:pPr>
        <w:pStyle w:val="BodyText"/>
      </w:pPr>
      <w:r>
        <w:rPr>
          <w:bCs/>
          <w:b/>
        </w:rPr>
        <w:t xml:space="preserve">The cost is the renumbering, not the removal.</w:t>
      </w:r>
      <w:r>
        <w:t xml:space="preserve"> </w:t>
      </w:r>
      <w:r>
        <w:t xml:space="preserve">Deleting S5 and S7 moves S6 and</w:t>
      </w:r>
      <w:r>
        <w:t xml:space="preserve"> </w:t>
      </w:r>
      <w:r>
        <w:t xml:space="preserve">S8-S12 up, and drags the S-figure and S-table series with them, across the</w:t>
      </w:r>
      <w:r>
        <w:t xml:space="preserve"> </w:t>
      </w:r>
      <w:r>
        <w:t xml:space="preserve">supplement, the manuscript and the checklist. This is the third demotion of the</w:t>
      </w:r>
      <w:r>
        <w:t xml:space="preserve"> </w:t>
      </w:r>
      <w:r>
        <w:t xml:space="preserve">fusion material, and each round has applied the same argument one level further</w:t>
      </w:r>
      <w:r>
        <w:t xml:space="preserve"> </w:t>
      </w:r>
      <w:r>
        <w:t xml:space="preserve">down: a closed null on a post-hoc secondary analysis does not earn the space.</w:t>
      </w:r>
    </w:p>
    <w:bookmarkEnd w:id="40"/>
    <w:bookmarkStart w:id="41" w:name="Xc7998c40ad24081fe2ff02939c3c99aa2d934e6"/>
    <w:p>
      <w:pPr>
        <w:pStyle w:val="Heading3"/>
      </w:pPr>
      <w:r>
        <w:t xml:space="preserve">The Discussion’s take-home, which needs confirming</w:t>
      </w:r>
    </w:p>
    <w:p>
      <w:pPr>
        <w:pStyle w:val="FirstParagraph"/>
      </w:pPr>
      <w:r>
        <w:t xml:space="preserve">“</w:t>
      </w:r>
      <w:r>
        <w:t xml:space="preserve">Embedders are useful to match the standards other people have done.</w:t>
      </w:r>
      <w:r>
        <w:t xml:space="preserve">”</w:t>
      </w:r>
      <w:r>
        <w:t xml:space="preserve"> </w:t>
      </w:r>
      <w:r>
        <w:t xml:space="preserve">The reading</w:t>
      </w:r>
      <w:r>
        <w:t xml:space="preserve"> </w:t>
      </w:r>
      <w:r>
        <w:t xml:space="preserve">that fits his own</w:t>
      </w:r>
      <w:r>
        <w:t xml:space="preserve"> </w:t>
      </w:r>
      <w:r>
        <w:rPr>
          <w:iCs/>
          <w:i/>
        </w:rPr>
        <w:t xml:space="preserve">Comparison with prior work</w:t>
      </w:r>
      <w:r>
        <w:t xml:space="preserve"> </w:t>
      </w:r>
      <w:r>
        <w:t xml:space="preserve">section and the seven references he</w:t>
      </w:r>
      <w:r>
        <w:t xml:space="preserve"> </w:t>
      </w:r>
      <w:r>
        <w:t xml:space="preserve">added: the point worth leading with is that a general-purpose embedder reaches the</w:t>
      </w:r>
      <w:r>
        <w:t xml:space="preserve"> </w:t>
      </w:r>
      <w:r>
        <w:t xml:space="preserve">discrimination band the literature already reports — Lage 0.652, Lee 0.684, Walsh</w:t>
      </w:r>
      <w:r>
        <w:t xml:space="preserve"> </w:t>
      </w:r>
      <w:r>
        <w:t xml:space="preserve">0.51-0.64 externally, against our 0.657 — without a purpose-built EHR foundation</w:t>
      </w:r>
      <w:r>
        <w:t xml:space="preserve"> </w:t>
      </w:r>
      <w:r>
        <w:t xml:space="preserve">model. That is a reframing of</w:t>
      </w:r>
      <w:r>
        <w:t xml:space="preserve"> </w:t>
      </w:r>
      <w:r>
        <w:rPr>
          <w:iCs/>
          <w:i/>
        </w:rPr>
        <w:t xml:space="preserve">Principal findings</w:t>
      </w:r>
      <w:r>
        <w:t xml:space="preserve">, from</w:t>
      </w:r>
      <w:r>
        <w:t xml:space="preserve"> </w:t>
      </w:r>
      <w:r>
        <w:t xml:space="preserve">“</w:t>
      </w:r>
      <w:r>
        <w:t xml:space="preserve">the two representations</w:t>
      </w:r>
      <w:r>
        <w:t xml:space="preserve"> </w:t>
      </w:r>
      <w:r>
        <w:t xml:space="preserve">tie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the cheap route reaches the field’s standard</w:t>
      </w:r>
      <w:r>
        <w:t xml:space="preserve">”</w:t>
      </w:r>
      <w:r>
        <w:t xml:space="preserve">, and it is a better story</w:t>
      </w:r>
      <w:r>
        <w:t xml:space="preserve"> </w:t>
      </w:r>
      <w:r>
        <w:t xml:space="preserve">than the one now in the section. It is also his Discussion, so it is his call:</w:t>
      </w:r>
      <w:r>
        <w:t xml:space="preserve"> </w:t>
      </w:r>
      <w:r>
        <w:t xml:space="preserve">ask before rewriting it.</w:t>
      </w:r>
    </w:p>
    <w:bookmarkEnd w:id="41"/>
    <w:bookmarkEnd w:id="42"/>
    <w:bookmarkStart w:id="43" w:name="what-is-still-open"/>
    <w:p>
      <w:pPr>
        <w:pStyle w:val="Heading2"/>
      </w:pPr>
      <w:r>
        <w:t xml:space="preserve">What is still open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/>
        </w:tc>
        <w:tc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Lage 2022 and Lee 2024 PDFs</w:t>
            </w:r>
          </w:p>
        </w:tc>
        <w:tc>
          <w:p>
            <w:pPr>
              <w:pStyle w:val="Compact"/>
              <w:jc w:val="left"/>
            </w:pPr>
            <w:r>
              <w:t xml:space="preserve">authors</w:t>
            </w:r>
          </w:p>
        </w:tc>
        <w:tc>
          <w:p>
            <w:pPr>
              <w:pStyle w:val="Compact"/>
              <w:jc w:val="left"/>
            </w:pPr>
            <w:r>
              <w:t xml:space="preserve">Not open access; reprint requests drafted in</w:t>
            </w:r>
            <w:r>
              <w:t xml:space="preserve"> </w:t>
            </w:r>
            <w:r>
              <w:rPr>
                <w:rStyle w:val="VerbatimChar"/>
              </w:rPr>
              <w:t xml:space="preserve">../references/reprint_request_emails.md</w:t>
            </w:r>
            <w:r>
              <w:t xml:space="preserve">. Their quoted figures are already verified from the abstracts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Limitations: in or out</w:t>
            </w:r>
          </w:p>
        </w:tc>
        <w:tc>
          <w:p>
            <w:pPr>
              <w:pStyle w:val="Compact"/>
              <w:jc w:val="left"/>
            </w:pPr>
            <w:r>
              <w:t xml:space="preserve">authors</w:t>
            </w:r>
          </w:p>
        </w:tc>
        <w:tc>
          <w:p>
            <w:pPr>
              <w:pStyle w:val="Compact"/>
              <w:jc w:val="left"/>
            </w:pPr>
            <w:r>
              <w:t xml:space="preserve">The section is intact in</w:t>
            </w:r>
            <w:r>
              <w:t xml:space="preserve"> </w:t>
            </w:r>
            <w:r>
              <w:rPr>
                <w:rStyle w:val="VerbatimChar"/>
              </w:rPr>
              <w:t xml:space="preserve">../reserve/limitations_reserve.md</w:t>
            </w:r>
            <w:r>
              <w:t xml:space="preserve">; TRIPOD item 26 is the argument for putting it 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Discussion length</w:t>
            </w:r>
          </w:p>
        </w:tc>
        <w:tc>
          <w:p>
            <w:pPr>
              <w:pStyle w:val="Compact"/>
              <w:jc w:val="left"/>
            </w:pPr>
            <w:r>
              <w:t xml:space="preserve">authors</w:t>
            </w:r>
          </w:p>
        </w:tc>
        <w:tc>
          <w:p>
            <w:pPr>
              <w:pStyle w:val="Compact"/>
              <w:jc w:val="left"/>
            </w:pPr>
            <w:r>
              <w:t xml:space="preserve">1,903 words and his own 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Discussion’s take-home</w:t>
            </w:r>
          </w:p>
        </w:tc>
        <w:tc>
          <w:p>
            <w:pPr>
              <w:pStyle w:val="Compact"/>
              <w:jc w:val="left"/>
            </w:pPr>
            <w:r>
              <w:t xml:space="preserve">authors</w:t>
            </w:r>
          </w:p>
        </w:tc>
        <w:tc>
          <w:p>
            <w:pPr>
              <w:pStyle w:val="Compact"/>
              <w:jc w:val="left"/>
            </w:pPr>
            <w:r>
              <w:t xml:space="preserve">Whether</w:t>
            </w:r>
            <w:r>
              <w:t xml:space="preserve"> </w:t>
            </w:r>
            <w:r>
              <w:rPr>
                <w:iCs/>
                <w:i/>
              </w:rPr>
              <w:t xml:space="preserve">Principal findings</w:t>
            </w:r>
            <w:r>
              <w:t xml:space="preserve"> </w:t>
            </w:r>
            <w:r>
              <w:t xml:space="preserve">should lead on parity with the published literature rather than on parity between the two representations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rewritten sections</w:t>
            </w:r>
          </w:p>
        </w:tc>
        <w:tc>
          <w:p>
            <w:pPr>
              <w:pStyle w:val="Compact"/>
              <w:jc w:val="left"/>
            </w:pPr>
            <w:r>
              <w:t xml:space="preserve">authors</w:t>
            </w:r>
          </w:p>
        </w:tc>
        <w:tc>
          <w:p>
            <w:pPr>
              <w:pStyle w:val="Compact"/>
              <w:jc w:val="left"/>
            </w:pPr>
            <w:r>
              <w:t xml:space="preserve">Everything in the 2026-09-04 follow-up waits on them</w:t>
            </w:r>
          </w:p>
        </w:tc>
      </w:tr>
    </w:tbl>
    <w:bookmarkEnd w:id="43"/>
    <w:bookmarkEnd w:id="44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2026-09-08T19:38:34Z</dcterms:created>
  <dcterms:modified xsi:type="dcterms:W3CDTF">2026-09-08T19:38:34Z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