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aper-2-project-outline"/>
    <w:p>
      <w:pPr>
        <w:pStyle w:val="Heading1"/>
      </w:pPr>
      <w:r>
        <w:t xml:space="preserve">PAPER 2 — PROJECT OUTLINE</w:t>
      </w:r>
    </w:p>
    <w:bookmarkStart w:id="20" w:name="Xbba93334edbf3952154cf33bf42ffb007aa4ef6"/>
    <w:p>
      <w:pPr>
        <w:pStyle w:val="Heading2"/>
      </w:pPr>
      <w:r>
        <w:t xml:space="preserve">Counterfactual Antidepressant Selection from EHR: An Identification-First, Similarity-Grounded Recommender With a Falsification Battery</w:t>
      </w:r>
    </w:p>
    <w:p>
      <w:pPr>
        <w:pStyle w:val="BlockText"/>
      </w:pPr>
      <w:r>
        <w:rPr>
          <w:bCs/>
          <w:b/>
        </w:rPr>
        <w:t xml:space="preserve">SCOPE RECONCILIATION (added 2026-08-13) — READ BEFORE ACTING ON THIS DOCUMENT.</w:t>
      </w:r>
      <w:r>
        <w:t xml:space="preserve"> </w:t>
      </w:r>
      <w:r>
        <w:t xml:space="preserve">This outline is written around the</w:t>
      </w:r>
      <w:r>
        <w:t xml:space="preserve"> </w:t>
      </w:r>
      <w:r>
        <w:rPr>
          <w:bCs/>
          <w:b/>
        </w:rPr>
        <w:t xml:space="preserve">switch-decision</w:t>
      </w:r>
      <w:r>
        <w:t xml:space="preserve"> </w:t>
      </w:r>
      <w:r>
        <w:t xml:space="preserve">framing: time zero at a line-2 switch,</w:t>
      </w:r>
      <w:r>
        <w:t xml:space="preserve"> </w:t>
      </w:r>
      <w:r>
        <w:t xml:space="preserve">eligibility restricted to patients with an observed line-2 decision, and Phase 1 devoted to</w:t>
      </w:r>
      <w:r>
        <w:t xml:space="preserve"> </w:t>
      </w:r>
      <w:r>
        <w:t xml:space="preserve">building a switch-event library.</w:t>
      </w:r>
      <w:r>
        <w:t xml:space="preserve"> </w:t>
      </w:r>
      <w:r>
        <w:rPr>
          <w:bCs/>
          <w:b/>
        </w:rPr>
        <w:t xml:space="preserve">That is not the pipeline currently being built.</w:t>
      </w:r>
    </w:p>
    <w:p>
      <w:pPr>
        <w:pStyle w:val="BlockText"/>
      </w:pPr>
      <w:r>
        <w:t xml:space="preserve">The pipeline under construction is</w:t>
      </w:r>
      <w:r>
        <w:t xml:space="preserve"> </w:t>
      </w:r>
      <w:r>
        <w:rPr>
          <w:bCs/>
          <w:b/>
        </w:rPr>
        <w:t xml:space="preserve">index-anchor scoped</w:t>
      </w:r>
      <w:r>
        <w:t xml:space="preserve"> </w:t>
      </w:r>
      <w:r>
        <w:t xml:space="preserve">(the mentor’s Target Trial 1 shape):</w:t>
      </w:r>
      <w:r>
        <w:t xml:space="preserve"> </w:t>
      </w:r>
      <w:r>
        <w:t xml:space="preserve">treatment is the antidepressant class started at the</w:t>
      </w:r>
      <w:r>
        <w:t xml:space="preserve"> </w:t>
      </w:r>
      <w:r>
        <w:rPr>
          <w:iCs/>
          <w:i/>
        </w:rPr>
        <w:t xml:space="preserve">anchor</w:t>
      </w:r>
      <w:r>
        <w:t xml:space="preserve"> </w:t>
      </w:r>
      <w:r>
        <w:t xml:space="preserve">prescription, eligibility per</w:t>
      </w:r>
      <w:r>
        <w:t xml:space="preserve"> </w:t>
      </w:r>
      <w:r>
        <w:t xml:space="preserve">contrast is every cohort patient whose index class is one of the two compared arms, and the</w:t>
      </w:r>
      <w:r>
        <w:t xml:space="preserve"> </w:t>
      </w:r>
      <w:r>
        <w:t xml:space="preserve">outcome is the existing TRD label. No post-anchor medication sequence is required, and none of</w:t>
      </w:r>
      <w:r>
        <w:t xml:space="preserve"> </w:t>
      </w:r>
      <w:r>
        <w:t xml:space="preserve">the Paper-1 artifacts need to be rebuilt — the sliced patient JSONs being strictly pre-anchor is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guarantee</w:t>
      </w:r>
      <w:r>
        <w:t xml:space="preserve"> </w:t>
      </w:r>
      <w:r>
        <w:t xml:space="preserve">here (no covariate can be measured after time zero), not an obstacle.</w:t>
      </w:r>
      <w:r>
        <w:t xml:space="preserve"> </w:t>
      </w:r>
      <w:r>
        <w:t xml:space="preserve">The authoritative design source is</w:t>
      </w:r>
      <w:r>
        <w:t xml:space="preserve"> </w:t>
      </w:r>
      <w:r>
        <w:rPr>
          <w:rStyle w:val="VerbatimChar"/>
        </w:rPr>
        <w:t xml:space="preserve">counterfactual_project_notes_2026-08-13.pdf</w:t>
      </w:r>
      <w:r>
        <w:t xml:space="preserve"> </w:t>
      </w:r>
      <w:r>
        <w:t xml:space="preserve">in this directory; the</w:t>
      </w:r>
      <w:r>
        <w:t xml:space="preserve"> </w:t>
      </w:r>
      <w:r>
        <w:t xml:space="preserve">implementation spec lives in the</w:t>
      </w:r>
      <w:r>
        <w:t xml:space="preserve"> </w:t>
      </w:r>
      <w:r>
        <w:rPr>
          <w:rStyle w:val="VerbatimChar"/>
        </w:rPr>
        <w:t xml:space="preserve">TRD-EHR</w:t>
      </w:r>
      <w:r>
        <w:t xml:space="preserve"> </w:t>
      </w:r>
      <w:r>
        <w:t xml:space="preserve">README under Planned Extensions.</w:t>
      </w:r>
    </w:p>
    <w:p>
      <w:pPr>
        <w:pStyle w:val="BlockText"/>
      </w:pPr>
      <w:r>
        <w:t xml:space="preserve">Everything in this outline that depends on the switch framing — the switch-event library, the</w:t>
      </w:r>
      <w:r>
        <w:t xml:space="preserve"> </w:t>
      </w:r>
      <w:r>
        <w:t xml:space="preserve">line-2 outcome proxies, Trial 3, Phase 1 as written, and the G3 sample-size gate — is</w:t>
      </w:r>
      <w:r>
        <w:t xml:space="preserve"> </w:t>
      </w:r>
      <w:r>
        <w:rPr>
          <w:bCs/>
          <w:b/>
        </w:rPr>
        <w:t xml:space="preserve">deferred,</w:t>
      </w:r>
      <w:r>
        <w:rPr>
          <w:bCs/>
          <w:b/>
        </w:rPr>
        <w:t xml:space="preserve"> </w:t>
      </w:r>
      <w:r>
        <w:rPr>
          <w:bCs/>
          <w:b/>
        </w:rPr>
        <w:t xml:space="preserve">not cancelled</w:t>
      </w:r>
      <w:r>
        <w:t xml:space="preserve">. It is a later scope. Everything that is framing-independent still applies in</w:t>
      </w:r>
      <w:r>
        <w:t xml:space="preserve"> </w:t>
      </w:r>
      <w:r>
        <w:t xml:space="preserve">full: the falsification battery, the three landing outcomes, the Bilu comparison, the</w:t>
      </w:r>
      <w:r>
        <w:t xml:space="preserve"> </w:t>
      </w:r>
      <w:r>
        <w:t xml:space="preserve">identification diagnosis, and the prescriber-preference instrument as the eventual answer to</w:t>
      </w:r>
      <w:r>
        <w:t xml:space="preserve"> </w:t>
      </w:r>
      <w:r>
        <w:rPr>
          <w:iCs/>
          <w:i/>
        </w:rPr>
        <w:t xml:space="preserve">unmeasured</w:t>
      </w:r>
      <w:r>
        <w:t xml:space="preserve"> </w:t>
      </w:r>
      <w:r>
        <w:t xml:space="preserve">confounding.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 document, not a task tracker. Written 2026-07-22.</w:t>
      </w:r>
      <w:r>
        <w:t xml:space="preserve"> </w:t>
      </w:r>
      <w:r>
        <w:rPr>
          <w:bCs/>
          <w:b/>
        </w:rPr>
        <w:t xml:space="preserve">Companion documents (read alongside):</w:t>
      </w:r>
      <w:r>
        <w:t xml:space="preserve"> </w:t>
      </w:r>
      <w:r>
        <w:rPr>
          <w:rStyle w:val="VerbatimChar"/>
        </w:rPr>
        <w:t xml:space="preserve">writeup/CAUSAL_IDENTIFICATION.md</w:t>
      </w:r>
      <w:r>
        <w:t xml:space="preserve"> </w:t>
      </w:r>
      <w:r>
        <w:t xml:space="preserve">(the econometric</w:t>
      </w:r>
      <w:r>
        <w:t xml:space="preserve"> </w:t>
      </w:r>
      <w:r>
        <w:t xml:space="preserve">constraints, authoritative),</w:t>
      </w:r>
      <w:r>
        <w:t xml:space="preserve"> </w:t>
      </w:r>
      <w:r>
        <w:rPr>
          <w:rStyle w:val="VerbatimChar"/>
        </w:rPr>
        <w:t xml:space="preserve">writeup/NextSteps.pdf</w:t>
      </w:r>
      <w:r>
        <w:t xml:space="preserve"> </w:t>
      </w:r>
      <w:r>
        <w:t xml:space="preserve">(mentor’s Part C/D spec),</w:t>
      </w:r>
      <w:r>
        <w:t xml:space="preserve"> </w:t>
      </w:r>
      <w:r>
        <w:rPr>
          <w:rStyle w:val="VerbatimChar"/>
        </w:rPr>
        <w:t xml:space="preserve">CRF_AnalysesConsiderations_07.08.2026.docx</w:t>
      </w:r>
      <w:r>
        <w:t xml:space="preserve"> </w:t>
      </w:r>
      <w:r>
        <w:t xml:space="preserve">(mentor’s target-trial framing),</w:t>
      </w:r>
      <w:r>
        <w:t xml:space="preserve"> </w:t>
      </w:r>
      <w:r>
        <w:rPr>
          <w:rStyle w:val="VerbatimChar"/>
        </w:rPr>
        <w:t xml:space="preserve">writeup/manuscript.md</w:t>
      </w:r>
      <w:r>
        <w:t xml:space="preserve"> </w:t>
      </w:r>
      <w:r>
        <w:t xml:space="preserve">(Paper 1, the shared substrate).</w:t>
      </w:r>
    </w:p>
    <w:p>
      <w:r>
        <w:pict>
          <v:rect style="width:0;height:1.5pt" o:hralign="center" o:hrstd="t" o:hr="t"/>
        </w:pict>
      </w:r>
    </w:p>
    <w:bookmarkEnd w:id="20"/>
    <w:bookmarkStart w:id="21" w:name="the-one-paragraph-thesis"/>
    <w:p>
      <w:pPr>
        <w:pStyle w:val="Heading2"/>
      </w:pPr>
      <w:r>
        <w:t xml:space="preserve">0. The one-paragraph thesis</w:t>
      </w:r>
    </w:p>
    <w:p>
      <w:pPr>
        <w:pStyle w:val="FirstParagraph"/>
      </w:pPr>
      <w:r>
        <w:t xml:space="preserve">We already have a patient-representation substrate (deterministic narratives → neural</w:t>
      </w:r>
      <w:r>
        <w:t xml:space="preserve"> </w:t>
      </w:r>
      <w:r>
        <w:t xml:space="preserve">embeddings → LLM-judged clinical similarity → interpretable feature vectors) validated in</w:t>
      </w:r>
      <w:r>
        <w:t xml:space="preserve"> </w:t>
      </w:r>
      <w:r>
        <w:t xml:space="preserve">Paper 1 for TRD</w:t>
      </w:r>
      <w:r>
        <w:t xml:space="preserve"> </w:t>
      </w:r>
      <w:r>
        <w:rPr>
          <w:iCs/>
          <w:i/>
        </w:rPr>
        <w:t xml:space="preserve">prediction</w:t>
      </w:r>
      <w:r>
        <w:t xml:space="preserve">. Paper 2 turns that substrate on the harder question the</w:t>
      </w:r>
      <w:r>
        <w:t xml:space="preserve"> </w:t>
      </w:r>
      <w:r>
        <w:t xml:space="preserve">mentor’s spec calls Part C:</w:t>
      </w:r>
      <w:r>
        <w:t xml:space="preserve"> </w:t>
      </w:r>
      <w:r>
        <w:rPr>
          <w:bCs/>
          <w:b/>
        </w:rPr>
        <w:t xml:space="preserve">given a patient about to start (or switch) an antidepressant,</w:t>
      </w:r>
      <w:r>
        <w:rPr>
          <w:bCs/>
          <w:b/>
        </w:rPr>
        <w:t xml:space="preserve"> </w:t>
      </w:r>
      <w:r>
        <w:rPr>
          <w:bCs/>
          <w:b/>
        </w:rPr>
        <w:t xml:space="preserve">what is the expected outcome under each feasible class, and does a recommendation rule built</w:t>
      </w:r>
      <w:r>
        <w:rPr>
          <w:bCs/>
          <w:b/>
        </w:rPr>
        <w:t xml:space="preserve"> </w:t>
      </w:r>
      <w:r>
        <w:rPr>
          <w:bCs/>
          <w:b/>
        </w:rPr>
        <w:t xml:space="preserve">on those estimates carry defensible value over standard prescribing?</w:t>
      </w:r>
      <w:r>
        <w:t xml:space="preserve"> </w:t>
      </w:r>
      <w:r>
        <w:t xml:space="preserve">The intellectually</w:t>
      </w:r>
      <w:r>
        <w:t xml:space="preserve"> </w:t>
      </w:r>
      <w:r>
        <w:t xml:space="preserve">honest version of this project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we found the optimal drug per patient</w:t>
      </w:r>
      <w:r>
        <w:t xml:space="preserve">”</w:t>
      </w:r>
      <w:r>
        <w:t xml:space="preserve"> </w:t>
      </w:r>
      <w:r>
        <w:t xml:space="preserve">— the causal</w:t>
      </w:r>
      <w:r>
        <w:t xml:space="preserve"> </w:t>
      </w:r>
      <w:r>
        <w:t xml:space="preserve">forest arm already shows that signal is faint on this data, and a near-identical study (Bilu et</w:t>
      </w:r>
      <w:r>
        <w:t xml:space="preserve"> </w:t>
      </w:r>
      <w:r>
        <w:t xml:space="preserve">al. 2026) found only a small improvement. The contribution is instead</w:t>
      </w:r>
      <w:r>
        <w:t xml:space="preserve"> </w:t>
      </w:r>
      <w:r>
        <w:rPr>
          <w:bCs/>
          <w:b/>
        </w:rPr>
        <w:t xml:space="preserve">methodological and</w:t>
      </w:r>
      <w:r>
        <w:rPr>
          <w:bCs/>
          <w:b/>
        </w:rPr>
        <w:t xml:space="preserve"> </w:t>
      </w:r>
      <w:r>
        <w:rPr>
          <w:bCs/>
          <w:b/>
        </w:rPr>
        <w:t xml:space="preserve">adversarial</w:t>
      </w:r>
      <w:r>
        <w:t xml:space="preserve">: a recommender whose value is estimated with proper off-policy evaluation,</w:t>
      </w:r>
      <w:r>
        <w:t xml:space="preserve"> </w:t>
      </w:r>
      <w:r>
        <w:t xml:space="preserve">whose causal claims are triangulated across three identification strategies (selection-on-</w:t>
      </w:r>
      <w:r>
        <w:t xml:space="preserve"> </w:t>
      </w:r>
      <w:r>
        <w:t xml:space="preserve">observables, prescriber/clinic-preference instrument, and target-trial ATT), and whose result</w:t>
      </w:r>
      <w:r>
        <w:t xml:space="preserve"> </w:t>
      </w:r>
      <w:r>
        <w:t xml:space="preserve">— positive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null — survives a pre-specified falsification battery. On this data a</w:t>
      </w:r>
      <w:r>
        <w:t xml:space="preserve"> </w:t>
      </w:r>
      <w:r>
        <w:t xml:space="preserve">rigorously-bounded, well-falsified null is a publishable finding; an un-falsified positive is not.</w:t>
      </w:r>
    </w:p>
    <w:p>
      <w:r>
        <w:pict>
          <v:rect style="width:0;height:1.5pt" o:hralign="center" o:hrstd="t" o:hr="t"/>
        </w:pict>
      </w:r>
    </w:p>
    <w:bookmarkEnd w:id="21"/>
    <w:bookmarkStart w:id="22" w:name="X35440a0fd4c0d5d2e9506e6e9965bfa0fe8fdfc"/>
    <w:p>
      <w:pPr>
        <w:pStyle w:val="Heading2"/>
      </w:pPr>
      <w:r>
        <w:t xml:space="preserve">1. Why the naive project fails (grounded, not hypothetical)</w:t>
      </w:r>
    </w:p>
    <w:p>
      <w:pPr>
        <w:pStyle w:val="FirstParagraph"/>
      </w:pPr>
      <w:r>
        <w:t xml:space="preserve">The obvious framing —</w:t>
      </w:r>
      <w:r>
        <w:t xml:space="preserve"> </w:t>
      </w:r>
      <w:r>
        <w:t xml:space="preserve">“</w:t>
      </w:r>
      <w:r>
        <w:t xml:space="preserve">learn a heterogeneous-treatment-effect model, read off the best drug</w:t>
      </w:r>
      <w:r>
        <w:t xml:space="preserve"> </w:t>
      </w:r>
      <w:r>
        <w:t xml:space="preserve">per patient, claim clinical utility</w:t>
      </w:r>
      <w:r>
        <w:t xml:space="preserve">”</w:t>
      </w:r>
      <w:r>
        <w:t xml:space="preserve"> </w:t>
      </w:r>
      <w:r>
        <w:t xml:space="preserve">— is a bad bet here, for three reasons we can already</w:t>
      </w:r>
      <w:r>
        <w:t xml:space="preserve"> </w:t>
      </w:r>
      <w:r>
        <w:t xml:space="preserve">document from our own artifacts and the literature:</w:t>
      </w:r>
    </w:p>
    <w:p>
      <w:pPr>
        <w:pStyle w:val="BodyText"/>
      </w:pPr>
      <w:r>
        <w:rPr>
          <w:bCs/>
          <w:b/>
        </w:rPr>
        <w:t xml:space="preserve">(a) Our own causal signal is empirically flat.</w:t>
      </w:r>
      <w:r>
        <w:t xml:space="preserve"> </w:t>
      </w:r>
      <w:r>
        <w:t xml:space="preserve">The current three-contrast causal-forest</w:t>
      </w:r>
      <w:r>
        <w:t xml:space="preserve"> </w:t>
      </w:r>
      <w:r>
        <w:t xml:space="preserve">sweep (</w:t>
      </w:r>
      <w:r>
        <w:rPr>
          <w:rStyle w:val="VerbatimChar"/>
        </w:rPr>
        <w:t xml:space="preserve">results/causal_pipeline/leaderboard.csv</w:t>
      </w:r>
      <w:r>
        <w:t xml:space="preserve">) returns: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p>
            <w:pPr>
              <w:pStyle w:val="Compact"/>
              <w:jc w:val="left"/>
            </w:pPr>
            <w:r>
              <w:t xml:space="preserve">ATE (95% CI)</w:t>
            </w:r>
          </w:p>
        </w:tc>
        <w:tc>
          <w:p>
            <w:pPr>
              <w:pStyle w:val="Compact"/>
              <w:jc w:val="left"/>
            </w:pPr>
            <w:r>
              <w:t xml:space="preserve">CATE calibration R²</w:t>
            </w:r>
          </w:p>
        </w:tc>
        <w:tc>
          <w:p>
            <w:pPr>
              <w:pStyle w:val="Compact"/>
              <w:jc w:val="left"/>
            </w:pPr>
            <w:r>
              <w:t xml:space="preserve">BLP p (BH)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SNRI vs SSRI</w:t>
            </w:r>
          </w:p>
        </w:tc>
        <w:tc>
          <w:p>
            <w:pPr>
              <w:pStyle w:val="Compact"/>
              <w:jc w:val="left"/>
            </w:pPr>
            <w:r>
              <w:t xml:space="preserve">0.037 (−0.086, 0.161)</w:t>
            </w:r>
          </w:p>
        </w:tc>
        <w:tc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thin</w:t>
            </w:r>
            <w:r>
              <w:t xml:space="preserve"> </w:t>
            </w:r>
            <w:r>
              <w:t xml:space="preserve">“</w:t>
            </w:r>
            <w:r>
              <w:t xml:space="preserve">hit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Bupropion vs SSRI</w:t>
            </w:r>
          </w:p>
        </w:tc>
        <w:tc>
          <w:p>
            <w:pPr>
              <w:pStyle w:val="Compact"/>
              <w:jc w:val="left"/>
            </w:pPr>
            <w:r>
              <w:t xml:space="preserve">0.040 (−0.092, 0.172)</w:t>
            </w:r>
          </w:p>
        </w:tc>
        <w:tc>
          <w:p>
            <w:pPr>
              <w:pStyle w:val="Compact"/>
              <w:jc w:val="left"/>
            </w:pPr>
            <w:r>
              <w:t xml:space="preserve">−0.099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Bupropion vs SNRI</w:t>
            </w:r>
          </w:p>
        </w:tc>
        <w:tc>
          <w:p>
            <w:pPr>
              <w:pStyle w:val="Compact"/>
              <w:jc w:val="left"/>
            </w:pPr>
            <w:r>
              <w:t xml:space="preserve">0.017 (−0.084, 0.119)</w:t>
            </w:r>
          </w:p>
        </w:tc>
        <w:tc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p>
      <w:pPr>
        <w:pStyle w:val="BodyText"/>
      </w:pPr>
      <w:r>
        <w:t xml:space="preserve">Every average effect is statistically indistinguishable from zero. The heterogeneity</w:t>
      </w:r>
      <w:r>
        <w:t xml:space="preserve"> </w:t>
      </w:r>
      <w:r>
        <w:t xml:space="preserve">calibration R² are essentially zero. The single surviving BLP signal is — per our own</w:t>
      </w:r>
      <w:r>
        <w:t xml:space="preserve"> </w:t>
      </w:r>
      <w:r>
        <w:rPr>
          <w:rStyle w:val="VerbatimChar"/>
        </w:rPr>
        <w:t xml:space="preserve">CAUSAL_IDENTIFICATION.md</w:t>
      </w:r>
      <w:r>
        <w:t xml:space="preserve"> </w:t>
      </w:r>
      <w:r>
        <w:t xml:space="preserve">§3(c) — dominated by illness-burden proxies (encounter count, age),</w:t>
      </w:r>
      <w:r>
        <w:t xml:space="preserve"> </w:t>
      </w:r>
      <w:r>
        <w:t xml:space="preserve">i.e. confounding by indication wearing a heterogeneity costume. The machinery is correct (the</w:t>
      </w:r>
      <w:r>
        <w:t xml:space="preserve"> </w:t>
      </w:r>
      <w:r>
        <w:t xml:space="preserve">validation suite shows near-perfect sign-flip antisymmetry and a small transitivity gap); the</w:t>
      </w:r>
      <w:r>
        <w:t xml:space="preserve"> </w:t>
      </w:r>
      <w:r>
        <w:rPr>
          <w:iCs/>
          <w:i/>
        </w:rPr>
        <w:t xml:space="preserve">identification</w:t>
      </w:r>
      <w:r>
        <w:t xml:space="preserve"> </w:t>
      </w:r>
      <w:r>
        <w:t xml:space="preserve">is empty.</w:t>
      </w:r>
    </w:p>
    <w:p>
      <w:pPr>
        <w:pStyle w:val="BodyText"/>
      </w:pPr>
      <w:r>
        <w:rPr>
          <w:bCs/>
          <w:b/>
        </w:rPr>
        <w:t xml:space="preserve">(b) The binding constraint is the CIA, not the estimator.</w:t>
      </w:r>
      <w:r>
        <w:t xml:space="preserve"> </w:t>
      </w:r>
      <w:r>
        <w:t xml:space="preserve">No amount of forest flexibility</w:t>
      </w:r>
      <w:r>
        <w:t xml:space="preserve"> </w:t>
      </w:r>
      <w:r>
        <w:t xml:space="preserve">repairs an unmet conditional-independence assumption. Severity is only partially observed,</w:t>
      </w:r>
      <w:r>
        <w:t xml:space="preserve"> </w:t>
      </w:r>
      <w:r>
        <w:t xml:space="preserve">so the selection-bias term does not zero out. This is structural and will survive any</w:t>
      </w:r>
      <w:r>
        <w:t xml:space="preserve"> </w:t>
      </w:r>
      <w:r>
        <w:t xml:space="preserve">re-derivation.</w:t>
      </w:r>
    </w:p>
    <w:p>
      <w:pPr>
        <w:pStyle w:val="BodyText"/>
      </w:pPr>
      <w:r>
        <w:rPr>
          <w:bCs/>
          <w:b/>
        </w:rPr>
        <w:t xml:space="preserve">(c) The near-identical study already exists and also came up weak.</w:t>
      </w:r>
      <w:r>
        <w:t xml:space="preserve"> </w:t>
      </w:r>
      <w:r>
        <w:t xml:space="preserve">Bilu et al. (2026,</w:t>
      </w:r>
      <w:r>
        <w:t xml:space="preserve"> </w:t>
      </w:r>
      <w:r>
        <w:rPr>
          <w:iCs/>
          <w:i/>
        </w:rPr>
        <w:t xml:space="preserve">BMC</w:t>
      </w:r>
      <w:r>
        <w:rPr>
          <w:iCs/>
          <w:i/>
        </w:rPr>
        <w:t xml:space="preserve"> </w:t>
      </w:r>
      <w:r>
        <w:rPr>
          <w:iCs/>
          <w:i/>
        </w:rPr>
        <w:t xml:space="preserve">Psychiatry</w:t>
      </w:r>
      <w:r>
        <w:t xml:space="preserve">, n = 73,601 NHS EHR) learned a data-driven policy over three SSRIs with RF + EconML</w:t>
      </w:r>
      <w:r>
        <w:t xml:space="preserve"> </w:t>
      </w:r>
      <w:r>
        <w:t xml:space="preserve">and an explicit counterfactual policy-value comparison — and found only a</w:t>
      </w:r>
      <w:r>
        <w:t xml:space="preserve"> </w:t>
      </w:r>
      <w:r>
        <w:rPr>
          <w:iCs/>
          <w:i/>
        </w:rPr>
        <w:t xml:space="preserve">small</w:t>
      </w:r>
      <w:r>
        <w:t xml:space="preserve"> </w:t>
      </w:r>
      <w:r>
        <w:t xml:space="preserve">improvement</w:t>
      </w:r>
      <w:r>
        <w:t xml:space="preserve"> </w:t>
      </w:r>
      <w:r>
        <w:t xml:space="preserve">over standard practice, with policy AUC (0.65) barely above what baseline PHQ-9 alone gives</w:t>
      </w:r>
      <w:r>
        <w:t xml:space="preserve"> </w:t>
      </w:r>
      <w:r>
        <w:t xml:space="preserve">(0.61). If the closest prior work with a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outcome (real PHQ-9 change) and a</w:t>
      </w:r>
      <w:r>
        <w:t xml:space="preserve"> </w:t>
      </w:r>
      <w:r>
        <w:rPr>
          <w:iCs/>
          <w:i/>
        </w:rPr>
        <w:t xml:space="preserve">larger</w:t>
      </w:r>
      <w:r>
        <w:t xml:space="preserve"> </w:t>
      </w:r>
      <w:r>
        <w:t xml:space="preserve">cohort found a small effect, we should not stake a paper on a large one.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deliverable must be reframed so that the scientific value does not depend on</w:t>
      </w:r>
      <w:r>
        <w:t xml:space="preserve"> </w:t>
      </w:r>
      <w:r>
        <w:t xml:space="preserve">a large positive effect existing. That reframe is Section 4.</w:t>
      </w:r>
    </w:p>
    <w:p>
      <w:r>
        <w:pict>
          <v:rect style="width:0;height:1.5pt" o:hralign="center" o:hrstd="t" o:hr="t"/>
        </w:pict>
      </w:r>
    </w:p>
    <w:bookmarkEnd w:id="22"/>
    <w:bookmarkStart w:id="23" w:name="Xe9bb06331d6f0c4f9630984623cdf14d58c6047"/>
    <w:p>
      <w:pPr>
        <w:pStyle w:val="Heading2"/>
      </w:pPr>
      <w:r>
        <w:t xml:space="preserve">2. Prior-work landscape (verified) and where we sit</w:t>
      </w:r>
    </w:p>
    <w:p>
      <w:pPr>
        <w:pStyle w:val="FirstParagraph"/>
      </w:pPr>
      <w:r>
        <w:t xml:space="preserve">Two literature scans were run for this outline. The verified map:</w:t>
      </w:r>
    </w:p>
    <w:p>
      <w:pPr>
        <w:pStyle w:val="BodyText"/>
      </w:pPr>
      <w:r>
        <w:rPr>
          <w:bCs/>
          <w:b/>
        </w:rPr>
        <w:t xml:space="preserve">Closest competitors (must position explicitly against these):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Bilu et al. 2026,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BMC Psychiatry</w:t>
      </w:r>
      <w:r>
        <w:t xml:space="preserve"> </w:t>
      </w:r>
      <w:r>
        <w:t xml:space="preserve">— EHR policy learning over 3 SSRIs, PHQ-9 outcome,</w:t>
      </w:r>
      <w:r>
        <w:t xml:space="preserve"> </w:t>
      </w:r>
      <w:r>
        <w:t xml:space="preserve">counterfactual policy value.</w:t>
      </w:r>
      <w:r>
        <w:t xml:space="preserve"> </w:t>
      </w:r>
      <w:r>
        <w:rPr>
          <w:iCs/>
          <w:i/>
        </w:rPr>
        <w:t xml:space="preserve">Small</w:t>
      </w:r>
      <w:r>
        <w:t xml:space="preserve"> </w:t>
      </w:r>
      <w:r>
        <w:t xml:space="preserve">improvement; baseline severity dominates. This is the</w:t>
      </w:r>
      <w:r>
        <w:t xml:space="preserve"> </w:t>
      </w:r>
      <w:r>
        <w:t xml:space="preserve">study we most resemble and must differentiate from.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Sheu, Perlis et al. 2023,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npj Digital Medicine</w:t>
      </w:r>
      <w:r>
        <w:t xml:space="preserve"> </w:t>
      </w:r>
      <w:r>
        <w:t xml:space="preserve">(n = 17,556, Mass General Brigham) —</w:t>
      </w:r>
      <w:r>
        <w:t xml:space="preserve"> </w:t>
      </w:r>
      <w:r>
        <w:t xml:space="preserve">per-class</w:t>
      </w:r>
      <w:r>
        <w:t xml:space="preserve"> </w:t>
      </w:r>
      <w:r>
        <w:rPr>
          <w:bCs/>
          <w:b/>
        </w:rPr>
        <w:t xml:space="preserve">response prediction</w:t>
      </w:r>
      <w:r>
        <w:t xml:space="preserve"> </w:t>
      </w:r>
      <w:r>
        <w:t xml:space="preserve">(SSRI/SNRI/bupropion/mirtazapine), outcome proxy derived</w:t>
      </w:r>
      <w:r>
        <w:t xml:space="preserve"> </w:t>
      </w:r>
      <w:r>
        <w:t xml:space="preserve">from clinical-note language (hand-labeled 3,600 + imputed), best AUROC ≈ 0.74. Closest</w:t>
      </w:r>
      <w:r>
        <w:t xml:space="preserve"> </w:t>
      </w:r>
      <w:r>
        <w:t xml:space="preserve">EHR predictive work. Note: this is</w:t>
      </w:r>
      <w:r>
        <w:t xml:space="preserve"> </w:t>
      </w:r>
      <w:r>
        <w:rPr>
          <w:iCs/>
          <w:i/>
        </w:rPr>
        <w:t xml:space="preserve">prediction with treatment-selection features</w:t>
      </w:r>
      <w:r>
        <w:t xml:space="preserve">, not causal</w:t>
      </w:r>
      <w:r>
        <w:t xml:space="preserve"> </w:t>
      </w:r>
      <w:r>
        <w:t xml:space="preserve">identification.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Puac-Polanco, Kessler et al. 2024,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Molecular Psychiatry</w:t>
      </w:r>
      <w:r>
        <w:t xml:space="preserve"> </w:t>
      </w:r>
      <w:r>
        <w:t xml:space="preserve">— VHA EHR individualized</w:t>
      </w:r>
      <w:r>
        <w:t xml:space="preserve"> </w:t>
      </w:r>
      <w:r>
        <w:t xml:space="preserve">treatment rule, n = 43,470 (essentially our cohort size), medication vs psychotherapy vs</w:t>
      </w:r>
      <w:r>
        <w:t xml:space="preserve"> </w:t>
      </w:r>
      <w:r>
        <w:t xml:space="preserve">combined. Effect size unverified (paywalled) — read before citing a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Wu et al. 2021,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J. Personalized Medicine</w:t>
      </w:r>
      <w:r>
        <w:t xml:space="preserve"> </w:t>
      </w:r>
      <w:r>
        <w:t xml:space="preserve">— Taiwan claims, n ≈ 715k, Super Learner ITR</w:t>
      </w:r>
      <w:r>
        <w:t xml:space="preserve"> </w:t>
      </w:r>
      <w:r>
        <w:t xml:space="preserve">validated by target-trial emulation; ~16–18% treatment-failure reduction. Claims-derived</w:t>
      </w:r>
      <w:r>
        <w:t xml:space="preserve"> </w:t>
      </w:r>
      <w:r>
        <w:t xml:space="preserve">failure proxy — same proxy-outcome situation we face.</w:t>
      </w:r>
    </w:p>
    <w:p>
      <w:pPr>
        <w:pStyle w:val="FirstParagraph"/>
      </w:pPr>
      <w:r>
        <w:rPr>
          <w:bCs/>
          <w:b/>
        </w:rPr>
        <w:t xml:space="preserve">Method backbone (cite as the machinery):</w:t>
      </w:r>
    </w:p>
    <w:p>
      <w:pPr>
        <w:numPr>
          <w:ilvl w:val="0"/>
          <w:numId w:val="1002"/>
        </w:numPr>
        <w:pStyle w:val="Compact"/>
      </w:pPr>
      <w:r>
        <w:t xml:space="preserve">Off-policy evaluation / policy learning:</w:t>
      </w:r>
      <w:r>
        <w:t xml:space="preserve"> </w:t>
      </w:r>
      <w:r>
        <w:rPr>
          <w:bCs/>
          <w:b/>
        </w:rPr>
        <w:t xml:space="preserve">Athey &amp; Wager 2021</w:t>
      </w:r>
      <w:r>
        <w:t xml:space="preserve"> </w:t>
      </w:r>
      <w:r>
        <w:t xml:space="preserve">(policy learning from</w:t>
      </w:r>
      <w:r>
        <w:t xml:space="preserve"> </w:t>
      </w:r>
      <w:r>
        <w:t xml:space="preserve">observational data, doubly-robust scores),</w:t>
      </w:r>
      <w:r>
        <w:t xml:space="preserve"> </w:t>
      </w:r>
      <w:r>
        <w:rPr>
          <w:bCs/>
          <w:b/>
        </w:rPr>
        <w:t xml:space="preserve">Dudík, Langford &amp; Li 2011</w:t>
      </w:r>
      <w:r>
        <w:t xml:space="preserve"> </w:t>
      </w:r>
      <w:r>
        <w:t xml:space="preserve">(doubly-robust OPE),</w:t>
      </w:r>
      <w:r>
        <w:t xml:space="preserve"> </w:t>
      </w:r>
      <w:r>
        <w:rPr>
          <w:bCs/>
          <w:b/>
        </w:rPr>
        <w:t xml:space="preserve">Swaminathan &amp; Joachims 2015</w:t>
      </w:r>
      <w:r>
        <w:t xml:space="preserve"> </w:t>
      </w:r>
      <w:r>
        <w:t xml:space="preserve">(self-normalized IPS / SNIPS).</w:t>
      </w:r>
    </w:p>
    <w:p>
      <w:pPr>
        <w:numPr>
          <w:ilvl w:val="0"/>
          <w:numId w:val="1002"/>
        </w:numPr>
        <w:pStyle w:val="Compact"/>
      </w:pPr>
      <w:r>
        <w:t xml:space="preserve">The healthcare-RL cautionary canon:</w:t>
      </w:r>
      <w:r>
        <w:t xml:space="preserve"> </w:t>
      </w:r>
      <w:r>
        <w:rPr>
          <w:bCs/>
          <w:b/>
        </w:rPr>
        <w:t xml:space="preserve">Komorowski et al. 2018</w:t>
      </w:r>
      <w:r>
        <w:t xml:space="preserve"> </w:t>
      </w:r>
      <w:r>
        <w:t xml:space="preserve">(AI Clinician) and its</w:t>
      </w:r>
      <w:r>
        <w:t xml:space="preserve"> </w:t>
      </w:r>
      <w:r>
        <w:t xml:space="preserve">critiques</w:t>
      </w:r>
      <w:r>
        <w:t xml:space="preserve"> </w:t>
      </w:r>
      <w:r>
        <w:rPr>
          <w:bCs/>
          <w:b/>
        </w:rPr>
        <w:t xml:space="preserve">Gottesman et al. 2019</w:t>
      </w:r>
      <w:r>
        <w:t xml:space="preserve"> </w:t>
      </w:r>
      <w:r>
        <w:t xml:space="preserve">(Nature Medicine guidelines) and</w:t>
      </w:r>
      <w:r>
        <w:t xml:space="preserve"> </w:t>
      </w:r>
      <w:r>
        <w:rPr>
          <w:bCs/>
          <w:b/>
        </w:rPr>
        <w:t xml:space="preserve">Jeter et al. 2019</w:t>
      </w:r>
      <w:r>
        <w:t xml:space="preserve"> </w:t>
      </w:r>
      <w:r>
        <w:t xml:space="preserve">(reward/proxy design drives wrong policies; report effective sample size).</w:t>
      </w:r>
    </w:p>
    <w:p>
      <w:pPr>
        <w:numPr>
          <w:ilvl w:val="0"/>
          <w:numId w:val="1002"/>
        </w:numPr>
        <w:pStyle w:val="Compact"/>
      </w:pPr>
      <w:r>
        <w:t xml:space="preserve">Comparative-effectiveness framing:</w:t>
      </w:r>
      <w:r>
        <w:t xml:space="preserve"> </w:t>
      </w:r>
      <w:r>
        <w:rPr>
          <w:bCs/>
          <w:b/>
        </w:rPr>
        <w:t xml:space="preserve">Hernán &amp; Robins 2016</w:t>
      </w:r>
      <w:r>
        <w:t xml:space="preserve"> </w:t>
      </w:r>
      <w:r>
        <w:t xml:space="preserve">(target trial emulation);</w:t>
      </w:r>
      <w:r>
        <w:t xml:space="preserve"> </w:t>
      </w:r>
      <w:r>
        <w:t xml:space="preserve">psychiatry applications exist (Szmulewicz/Perlis 2023 STAR*D emulation) but are class ATEs,</w:t>
      </w:r>
      <w:r>
        <w:t xml:space="preserve"> </w:t>
      </w:r>
      <w:r>
        <w:t xml:space="preserve">not learned individualized policies with OPE.</w:t>
      </w:r>
    </w:p>
    <w:p>
      <w:pPr>
        <w:numPr>
          <w:ilvl w:val="0"/>
          <w:numId w:val="1002"/>
        </w:numPr>
        <w:pStyle w:val="Compact"/>
      </w:pPr>
      <w:r>
        <w:t xml:space="preserve">Identification escape hatch:</w:t>
      </w:r>
      <w:r>
        <w:t xml:space="preserve"> </w:t>
      </w:r>
      <w:r>
        <w:rPr>
          <w:bCs/>
          <w:b/>
        </w:rPr>
        <w:t xml:space="preserve">Brookhart et al. 2006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Davies et al. 2013</w:t>
      </w:r>
      <w:r>
        <w:t xml:space="preserve"> </w:t>
      </w:r>
      <w:r>
        <w:t xml:space="preserve">(physician prescribing-preference instrument, the latter</w:t>
      </w:r>
      <w:r>
        <w:t xml:space="preserve"> </w:t>
      </w:r>
      <w:r>
        <w:rPr>
          <w:iCs/>
          <w:i/>
        </w:rPr>
        <w:t xml:space="preserve">specifically validated for</w:t>
      </w:r>
      <w:r>
        <w:rPr>
          <w:iCs/>
          <w:i/>
        </w:rPr>
        <w:t xml:space="preserve"> </w:t>
      </w:r>
      <w:r>
        <w:rPr>
          <w:iCs/>
          <w:i/>
        </w:rPr>
        <w:t xml:space="preserve">antidepressants</w:t>
      </w:r>
      <w:r>
        <w:t xml:space="preserve">), with the assumption-reporting caveats (Widding-Havneraas et al. 2021).</w:t>
      </w:r>
    </w:p>
    <w:p>
      <w:pPr>
        <w:numPr>
          <w:ilvl w:val="0"/>
          <w:numId w:val="1002"/>
        </w:numPr>
        <w:pStyle w:val="Compact"/>
      </w:pPr>
      <w:r>
        <w:t xml:space="preserve">Sensitivity tooling reviewers now require:</w:t>
      </w:r>
      <w:r>
        <w:t xml:space="preserve"> </w:t>
      </w:r>
      <w:r>
        <w:rPr>
          <w:bCs/>
          <w:b/>
        </w:rPr>
        <w:t xml:space="preserve">VanderWeele &amp; Ding 2017</w:t>
      </w:r>
      <w:r>
        <w:t xml:space="preserve"> </w:t>
      </w:r>
      <w:r>
        <w:t xml:space="preserve">(E-value),</w:t>
      </w:r>
      <w:r>
        <w:t xml:space="preserve"> </w:t>
      </w:r>
      <w:r>
        <w:rPr>
          <w:bCs/>
          <w:b/>
        </w:rPr>
        <w:t xml:space="preserve">Lipsitch et al. 2010</w:t>
      </w:r>
      <w:r>
        <w:t xml:space="preserve"> </w:t>
      </w:r>
      <w:r>
        <w:t xml:space="preserve">(negative-control outcomes), Rosenbaum bounds if matched.</w:t>
      </w:r>
    </w:p>
    <w:p>
      <w:pPr>
        <w:pStyle w:val="FirstParagraph"/>
      </w:pPr>
      <w:r>
        <w:rPr>
          <w:bCs/>
          <w:b/>
        </w:rPr>
        <w:t xml:space="preserve">Proxy-outcome lineage (cover for having no PHQ-9):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Hughes, Pradier, Perlis, Doshi-Velez 2020,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JAMA Netw Open</w:t>
      </w:r>
      <w:r>
        <w:t xml:space="preserve"> </w:t>
      </w:r>
      <w:r>
        <w:t xml:space="preserve">— antidepressant</w:t>
      </w:r>
      <w:r>
        <w:t xml:space="preserve"> </w:t>
      </w:r>
      <w:r>
        <w:rPr>
          <w:iCs/>
          <w:i/>
        </w:rPr>
        <w:t xml:space="preserve">treatment</w:t>
      </w:r>
      <w:r>
        <w:rPr>
          <w:iCs/>
          <w:i/>
        </w:rPr>
        <w:t xml:space="preserve"> </w:t>
      </w:r>
      <w:r>
        <w:rPr>
          <w:iCs/>
          <w:i/>
        </w:rPr>
        <w:t xml:space="preserve">stability</w:t>
      </w:r>
      <w:r>
        <w:t xml:space="preserve"> </w:t>
      </w:r>
      <w:r>
        <w:t xml:space="preserve">(no switch/augment/discontinue) as a PHQ-9-free EHR outcome. This legitimizes our</w:t>
      </w:r>
      <w:r>
        <w:t xml:space="preserve"> </w:t>
      </w:r>
      <w:r>
        <w:t xml:space="preserve">switching/stability/discontinuation proxies.</w:t>
      </w:r>
    </w:p>
    <w:p>
      <w:pPr>
        <w:pStyle w:val="FirstParagraph"/>
      </w:pPr>
      <w:r>
        <w:rPr>
          <w:bCs/>
          <w:b/>
        </w:rPr>
        <w:t xml:space="preserve">The generalization critique (our strongest motivating hook):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Chekroud et al. 2016</w:t>
      </w:r>
      <w:r>
        <w:t xml:space="preserve"> </w:t>
      </w:r>
      <w:r>
        <w:t xml:space="preserve">(Lancet Psychiatry, STAR*D, ≈65% remission accuracy) and the</w:t>
      </w:r>
      <w:r>
        <w:t xml:space="preserve"> </w:t>
      </w:r>
      <w:r>
        <w:t xml:space="preserve">field-level self-critique</w:t>
      </w:r>
      <w:r>
        <w:t xml:space="preserve"> </w:t>
      </w:r>
      <w:r>
        <w:rPr>
          <w:bCs/>
          <w:b/>
        </w:rPr>
        <w:t xml:space="preserve">Chekroud et al. 2021</w:t>
      </w:r>
      <w:r>
        <w:t xml:space="preserve"> </w:t>
      </w:r>
      <w:r>
        <w:t xml:space="preserve">(World Psychiatry) plus replication</w:t>
      </w:r>
      <w:r>
        <w:t xml:space="preserve"> </w:t>
      </w:r>
      <w:r>
        <w:rPr>
          <w:bCs/>
          <w:b/>
        </w:rPr>
        <w:t xml:space="preserve">Nunez et al. 2021</w:t>
      </w:r>
      <w:r>
        <w:t xml:space="preserve"> </w:t>
      </w:r>
      <w:r>
        <w:t xml:space="preserve">— ML antidepressant-response models routinely fail to transport across</w:t>
      </w:r>
      <w:r>
        <w:t xml:space="preserve"> </w:t>
      </w:r>
      <w:r>
        <w:t xml:space="preserve">trials/outcomes. The bar is recommendation</w:t>
      </w:r>
      <w:r>
        <w:t xml:space="preserve"> </w:t>
      </w:r>
      <w:r>
        <w:rPr>
          <w:iCs/>
          <w:i/>
        </w:rPr>
        <w:t xml:space="preserve">utility</w:t>
      </w:r>
      <w:r>
        <w:t xml:space="preserve">, not in-sample AUC.</w:t>
      </w:r>
    </w:p>
    <w:p>
      <w:pPr>
        <w:pStyle w:val="FirstParagraph"/>
      </w:pPr>
      <w:r>
        <w:rPr>
          <w:bCs/>
          <w:b/>
        </w:rPr>
        <w:t xml:space="preserve">LLM recommenders (an un-validated gap we can claim):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Perlis 2023/2024</w:t>
      </w:r>
      <w:r>
        <w:t xml:space="preserve"> </w:t>
      </w:r>
      <w:r>
        <w:t xml:space="preserve">— GPT-4 selecting next-step antidepressants from</w:t>
      </w:r>
      <w:r>
        <w:t xml:space="preserve"> </w:t>
      </w:r>
      <w:r>
        <w:rPr>
          <w:iCs/>
          <w:i/>
        </w:rPr>
        <w:t xml:space="preserve">vignettes</w:t>
      </w:r>
      <w:r>
        <w:t xml:space="preserve">: optimal</w:t>
      </w:r>
      <w:r>
        <w:t xml:space="preserve"> </w:t>
      </w:r>
      <w:r>
        <w:t xml:space="preserve">pick 76% of runs but a contraindicated pick in ~48%; bipolar version 50.8% agreement. All</w:t>
      </w:r>
      <w:r>
        <w:t xml:space="preserve"> </w:t>
      </w:r>
      <w:r>
        <w:t xml:space="preserve">vignette-based, none validated against real EHR outcomes.</w:t>
      </w:r>
    </w:p>
    <w:p>
      <w:pPr>
        <w:pStyle w:val="FirstParagraph"/>
      </w:pPr>
      <w:r>
        <w:rPr>
          <w:bCs/>
          <w:b/>
        </w:rPr>
        <w:t xml:space="preserve">The apparent open gap:</w:t>
      </w:r>
      <w:r>
        <w:t xml:space="preserve"> </w:t>
      </w:r>
      <w:r>
        <w:t xml:space="preserve">no published work uses an</w:t>
      </w:r>
      <w:r>
        <w:t xml:space="preserve"> </w:t>
      </w:r>
      <w:r>
        <w:rPr>
          <w:bCs/>
          <w:b/>
        </w:rPr>
        <w:t xml:space="preserve">LLM-embedding patient-similarity (</w:t>
      </w:r>
      <w:r>
        <w:rPr>
          <w:bCs/>
          <w:b/>
        </w:rPr>
        <w:t xml:space="preserve">“</w:t>
      </w:r>
      <w:r>
        <w:rPr>
          <w:bCs/>
          <w:b/>
        </w:rPr>
        <w:t xml:space="preserve">digital</w:t>
      </w:r>
      <w:r>
        <w:rPr>
          <w:bCs/>
          <w:b/>
        </w:rPr>
        <w:t xml:space="preserve"> </w:t>
      </w:r>
      <w:r>
        <w:rPr>
          <w:bCs/>
          <w:b/>
        </w:rPr>
        <w:t xml:space="preserve">twin</w:t>
      </w:r>
      <w:r>
        <w:rPr>
          <w:bCs/>
          <w:b/>
        </w:rPr>
        <w:t xml:space="preserve">”</w:t>
      </w:r>
      <w:r>
        <w:rPr>
          <w:bCs/>
          <w:b/>
        </w:rPr>
        <w:t xml:space="preserve">) representation to recommend the next antidepressant validated against real EHR</w:t>
      </w:r>
      <w:r>
        <w:rPr>
          <w:bCs/>
          <w:b/>
        </w:rPr>
        <w:t xml:space="preserve"> </w:t>
      </w:r>
      <w:r>
        <w:rPr>
          <w:bCs/>
          <w:b/>
        </w:rPr>
        <w:t xml:space="preserve">outcomes.</w:t>
      </w:r>
      <w:r>
        <w:t xml:space="preserve"> </w:t>
      </w:r>
      <w:r>
        <w:t xml:space="preserve">Treat as</w:t>
      </w:r>
      <w:r>
        <w:t xml:space="preserve"> </w:t>
      </w:r>
      <w:r>
        <w:t xml:space="preserve">“</w:t>
      </w:r>
      <w:r>
        <w:t xml:space="preserve">not found,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proven absent</w:t>
      </w:r>
      <w:r>
        <w:t xml:space="preserve">”</w:t>
      </w:r>
      <w:r>
        <w:t xml:space="preserve"> </w:t>
      </w:r>
      <w:r>
        <w:t xml:space="preserve">— but it is a real differentiator.</w:t>
      </w:r>
    </w:p>
    <w:p>
      <w:r>
        <w:pict>
          <v:rect style="width:0;height:1.5pt" o:hralign="center" o:hrstd="t" o:hr="t"/>
        </w:pict>
      </w:r>
    </w:p>
    <w:bookmarkEnd w:id="23"/>
    <w:bookmarkStart w:id="24" w:name="Xce3f3fbdf024fc990f8e2e1c84fe542dc1451fd"/>
    <w:p>
      <w:pPr>
        <w:pStyle w:val="Heading2"/>
      </w:pPr>
      <w:r>
        <w:t xml:space="preserve">3. Our differentiators (the novelty, stated defensively)</w:t>
      </w:r>
    </w:p>
    <w:p>
      <w:pPr>
        <w:pStyle w:val="FirstParagraph"/>
      </w:pPr>
      <w:r>
        <w:t xml:space="preserve">Novelty here is a</w:t>
      </w:r>
      <w:r>
        <w:t xml:space="preserve"> </w:t>
      </w:r>
      <w:r>
        <w:rPr>
          <w:iCs/>
          <w:i/>
        </w:rPr>
        <w:t xml:space="preserve">combination and rigor</w:t>
      </w:r>
      <w:r>
        <w:t xml:space="preserve"> </w:t>
      </w:r>
      <w:r>
        <w:t xml:space="preserve">claim, not a</w:t>
      </w:r>
      <w:r>
        <w:t xml:space="preserve"> </w:t>
      </w:r>
      <w:r>
        <w:t xml:space="preserve">“</w:t>
      </w:r>
      <w:r>
        <w:t xml:space="preserve">first-ever</w:t>
      </w:r>
      <w:r>
        <w:t xml:space="preserve">”</w:t>
      </w:r>
      <w:r>
        <w:t xml:space="preserve"> </w:t>
      </w:r>
      <w:r>
        <w:t xml:space="preserve">claim. Against the map above</w:t>
      </w:r>
      <w:r>
        <w:t xml:space="preserve"> </w:t>
      </w:r>
      <w:r>
        <w:t xml:space="preserve">we own four distinct axes, and the paper should assert exactly these and no more: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Representation.</w:t>
      </w:r>
      <w:r>
        <w:t xml:space="preserve"> </w:t>
      </w:r>
      <w:r>
        <w:t xml:space="preserve">LLM-judged clinical-similarity twins (Paper 1’s substrate) as the</w:t>
      </w:r>
      <w:r>
        <w:t xml:space="preserve"> </w:t>
      </w:r>
      <w:r>
        <w:t xml:space="preserve">counterfactual-outcome estimator, rather than a random forest on tabular features (Bilu) or a</w:t>
      </w:r>
      <w:r>
        <w:t xml:space="preserve"> </w:t>
      </w:r>
      <w:r>
        <w:t xml:space="preserve">note-language classifier (Sheu). No prior antidepressant recommender uses an outcome-validated</w:t>
      </w:r>
      <w:r>
        <w:t xml:space="preserve"> </w:t>
      </w:r>
      <w:r>
        <w:t xml:space="preserve">LLM-similarity twin.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Class breadth with honest overlap.</w:t>
      </w:r>
      <w:r>
        <w:t xml:space="preserve"> </w:t>
      </w:r>
      <w:r>
        <w:t xml:space="preserve">SSRI / SNRI / bupropion active-comparator contrasts,</w:t>
      </w:r>
      <w:r>
        <w:t xml:space="preserve"> </w:t>
      </w:r>
      <w:r>
        <w:t xml:space="preserve">not three near-identical SSRIs (Bilu). Broader clinical question, at the cost of harder</w:t>
      </w:r>
      <w:r>
        <w:t xml:space="preserve"> </w:t>
      </w:r>
      <w:r>
        <w:t xml:space="preserve">overlap — which we</w:t>
      </w:r>
      <w:r>
        <w:t xml:space="preserve"> </w:t>
      </w:r>
      <w:r>
        <w:rPr>
          <w:iCs/>
          <w:i/>
        </w:rPr>
        <w:t xml:space="preserve">report</w:t>
      </w:r>
      <w:r>
        <w:t xml:space="preserve">, not hide.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Triangulated identification.</w:t>
      </w:r>
      <w:r>
        <w:t xml:space="preserve"> </w:t>
      </w:r>
      <w:r>
        <w:t xml:space="preserve">Three identification strategies on the same estimand</w:t>
      </w:r>
      <w:r>
        <w:t xml:space="preserve"> </w:t>
      </w:r>
      <w:r>
        <w:t xml:space="preserve">(selection-on-observables DML, a</w:t>
      </w:r>
      <w:r>
        <w:t xml:space="preserve"> </w:t>
      </w:r>
      <w:r>
        <w:rPr>
          <w:bCs/>
          <w:b/>
        </w:rPr>
        <w:t xml:space="preserve">prescriber/clinic-preference instrument → LATE</w:t>
      </w:r>
      <w:r>
        <w:t xml:space="preserve">, and a</w:t>
      </w:r>
      <w:r>
        <w:t xml:space="preserve"> </w:t>
      </w:r>
      <w:r>
        <w:t xml:space="preserve">target-trial ATT), with agreement/disagreement across them as the actual evidence. The</w:t>
      </w:r>
      <w:r>
        <w:t xml:space="preserve"> </w:t>
      </w:r>
      <w:r>
        <w:t xml:space="preserve">preference instrument is feasible on this data (Section 8) and no psychiatric-policy EHR paper</w:t>
      </w:r>
      <w:r>
        <w:t xml:space="preserve"> </w:t>
      </w:r>
      <w:r>
        <w:t xml:space="preserve">we found triangulates this way.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Falsification-first evaluation.</w:t>
      </w:r>
      <w:r>
        <w:t xml:space="preserve"> </w:t>
      </w:r>
      <w:r>
        <w:t xml:space="preserve">A pre-specified battery — negative-control outcomes,</w:t>
      </w:r>
      <w:r>
        <w:t xml:space="preserve"> </w:t>
      </w:r>
      <w:r>
        <w:t xml:space="preserve">E-values, effective-sample-size gating, out-of-fold OPE with SNIPS/DR — where the headline is</w:t>
      </w:r>
      <w:r>
        <w:t xml:space="preserve"> </w:t>
      </w:r>
      <w:r>
        <w:t xml:space="preserve">whether the recommendation</w:t>
      </w:r>
      <w:r>
        <w:t xml:space="preserve"> </w:t>
      </w:r>
      <w:r>
        <w:rPr>
          <w:iCs/>
          <w:i/>
        </w:rPr>
        <w:t xml:space="preserve">survives</w:t>
      </w:r>
      <w:r>
        <w:t xml:space="preserve">, not its point estimate. This is the Gottesman-guideline</w:t>
      </w:r>
      <w:r>
        <w:t xml:space="preserve"> </w:t>
      </w:r>
      <w:r>
        <w:t xml:space="preserve">temperament operationalized.</w:t>
      </w:r>
    </w:p>
    <w:p>
      <w:r>
        <w:pict>
          <v:rect style="width:0;height:1.5pt" o:hralign="center" o:hrstd="t" o:hr="t"/>
        </w:pict>
      </w:r>
    </w:p>
    <w:bookmarkEnd w:id="24"/>
    <w:bookmarkStart w:id="25" w:name="X8faa62a63e10aa9cda74de2aa57a665f4e5a9b3"/>
    <w:p>
      <w:pPr>
        <w:pStyle w:val="Heading2"/>
      </w:pPr>
      <w:r>
        <w:t xml:space="preserve">4. What the paper actually claims (the reframe)</w:t>
      </w:r>
    </w:p>
    <w:p>
      <w:pPr>
        <w:pStyle w:val="FirstParagraph"/>
      </w:pPr>
      <w:r>
        <w:t xml:space="preserve">The manuscript’s contribution is a</w:t>
      </w:r>
      <w:r>
        <w:t xml:space="preserve"> </w:t>
      </w:r>
      <w:r>
        <w:rPr>
          <w:bCs/>
          <w:b/>
        </w:rPr>
        <w:t xml:space="preserve">method + a credibility verdict</w:t>
      </w:r>
      <w:r>
        <w:t xml:space="preserve">, structured so a null is</w:t>
      </w:r>
      <w:r>
        <w:t xml:space="preserve"> </w:t>
      </w:r>
      <w:r>
        <w:t xml:space="preserve">still a paper:</w:t>
      </w:r>
    </w:p>
    <w:p>
      <w:pPr>
        <w:pStyle w:val="BlockText"/>
      </w:pPr>
      <w:r>
        <w:rPr>
          <w:iCs/>
          <w:i/>
        </w:rPr>
        <w:t xml:space="preserve">We build a counterfactual antidepressant recommender on an EHR-derived digital-twin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representation, estimate its policy value with off-policy evaluation, and subject its causal</w:t>
      </w:r>
      <w:r>
        <w:rPr>
          <w:iCs/>
          <w:i/>
        </w:rPr>
        <w:t xml:space="preserve"> </w:t>
      </w:r>
      <w:r>
        <w:rPr>
          <w:iCs/>
          <w:i/>
        </w:rPr>
        <w:t xml:space="preserve">claims to a three-way identification triangulation and a pre-specified falsification battery.</w:t>
      </w:r>
      <w:r>
        <w:rPr>
          <w:iCs/>
          <w:i/>
        </w:rPr>
        <w:t xml:space="preserve"> </w:t>
      </w:r>
      <w:r>
        <w:rPr>
          <w:iCs/>
          <w:i/>
        </w:rPr>
        <w:t xml:space="preserve">We report the honest answer this data supports.</w:t>
      </w:r>
    </w:p>
    <w:p>
      <w:pPr>
        <w:pStyle w:val="FirstParagraph"/>
      </w:pPr>
      <w:r>
        <w:t xml:space="preserve">Three possible landing outcomes, all publishable: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Positive-and-survives:</w:t>
      </w:r>
      <w:r>
        <w:t xml:space="preserve"> </w:t>
      </w:r>
      <w:r>
        <w:t xml:space="preserve">a class-selection rule with policy value above standard prescribing</w:t>
      </w:r>
      <w:r>
        <w:t xml:space="preserve"> </w:t>
      </w:r>
      <w:r>
        <w:t xml:space="preserve">that holds under the instrument and passes negative controls. Strong paper.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Signal-but-fragile:</w:t>
      </w:r>
      <w:r>
        <w:t xml:space="preserve"> </w:t>
      </w:r>
      <w:r>
        <w:t xml:space="preserve">apparent value under selection-on-observables that collapses under the</w:t>
      </w:r>
      <w:r>
        <w:t xml:space="preserve"> </w:t>
      </w:r>
      <w:r>
        <w:t xml:space="preserve">instrument or fails a negative control. This is a</w:t>
      </w:r>
      <w:r>
        <w:t xml:space="preserve"> </w:t>
      </w:r>
      <w:r>
        <w:rPr>
          <w:iCs/>
          <w:i/>
        </w:rPr>
        <w:t xml:space="preserve">methods cautionary</w:t>
      </w:r>
      <w:r>
        <w:t xml:space="preserve"> </w:t>
      </w:r>
      <w:r>
        <w:t xml:space="preserve">paper — arguably more</w:t>
      </w:r>
      <w:r>
        <w:t xml:space="preserve"> </w:t>
      </w:r>
      <w:r>
        <w:t xml:space="preserve">valuable, and directly extends the Gottesman/Jeter line into psychiatry.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Honest null:</w:t>
      </w:r>
      <w:r>
        <w:t xml:space="preserve"> </w:t>
      </w:r>
      <w:r>
        <w:t xml:space="preserve">no class carries robust differential benefit on this proxy; recommendation</w:t>
      </w:r>
      <w:r>
        <w:t xml:space="preserve"> </w:t>
      </w:r>
      <w:r>
        <w:t xml:space="preserve">value is indistinguishable from baseline-severity triage. Reportable per Chekroud 2021 and</w:t>
      </w:r>
      <w:r>
        <w:t xml:space="preserve"> </w:t>
      </w:r>
      <w:r>
        <w:t xml:space="preserve">Bilu 2026, with our added rigor as the contribution.</w:t>
      </w:r>
    </w:p>
    <w:p>
      <w:pPr>
        <w:pStyle w:val="FirstParagraph"/>
      </w:pPr>
      <w:r>
        <w:t xml:space="preserve">The design must make all three equally reportable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we see the numbers. That is what</w:t>
      </w:r>
      <w:r>
        <w:t xml:space="preserve"> </w:t>
      </w:r>
      <w:r>
        <w:t xml:space="preserve">separates this from an exercise in p-hunting the one SNRI-vs-SSRI BLP.</w:t>
      </w:r>
    </w:p>
    <w:p>
      <w:r>
        <w:pict>
          <v:rect style="width:0;height:1.5pt" o:hralign="center" o:hrstd="t" o:hr="t"/>
        </w:pict>
      </w:r>
    </w:p>
    <w:bookmarkEnd w:id="25"/>
    <w:bookmarkStart w:id="26" w:name="aims"/>
    <w:p>
      <w:pPr>
        <w:pStyle w:val="Heading2"/>
      </w:pPr>
      <w:r>
        <w:t xml:space="preserve">5. Aims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Aim 1 — Counterfactual outcome estimation.</w:t>
      </w:r>
      <w:r>
        <w:t xml:space="preserve"> </w:t>
      </w:r>
      <w:r>
        <w:t xml:space="preserve">For each patient and each feasible</w:t>
      </w:r>
      <w:r>
        <w:t xml:space="preserve"> </w:t>
      </w:r>
      <w:r>
        <w:t xml:space="preserve">antidepressant class, estimate expected response and expected adverse-discontinuation using the</w:t>
      </w:r>
      <w:r>
        <w:t xml:space="preserve"> </w:t>
      </w:r>
      <w:r>
        <w:t xml:space="preserve">similarity-twin estimator and, in parallel, a doubly-robust DML estimator. Report effective</w:t>
      </w:r>
      <w:r>
        <w:t xml:space="preserve"> </w:t>
      </w:r>
      <w:r>
        <w:t xml:space="preserve">sample size per estimate; refuse to estimate where ESS is too low.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Aim 2 — Policy value under off-policy evaluation.</w:t>
      </w:r>
      <w:r>
        <w:t xml:space="preserve"> </w:t>
      </w:r>
      <w:r>
        <w:t xml:space="preserve">Define an explicit utility, derive the</w:t>
      </w:r>
      <w:r>
        <w:t xml:space="preserve"> </w:t>
      </w:r>
      <w:r>
        <w:t xml:space="preserve">recommendation rule, and estimate the value of</w:t>
      </w:r>
      <w:r>
        <w:t xml:space="preserve"> </w:t>
      </w:r>
      <w:r>
        <w:rPr>
          <w:iCs/>
          <w:i/>
        </w:rPr>
        <w:t xml:space="preserve">following the rule</w:t>
      </w:r>
      <w:r>
        <w:t xml:space="preserve"> </w:t>
      </w:r>
      <w:r>
        <w:t xml:space="preserve">vs the observed prescribing</w:t>
      </w:r>
      <w:r>
        <w:t xml:space="preserve"> </w:t>
      </w:r>
      <w:r>
        <w:t xml:space="preserve">policy using self-normalized IPS and a doubly-robust estimator, out-of-fold, with bootstrap CIs.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Aim 3 — Identification triangulation.</w:t>
      </w:r>
      <w:r>
        <w:t xml:space="preserve"> </w:t>
      </w:r>
      <w:r>
        <w:t xml:space="preserve">Re-estimate the key class contrasts under</w:t>
      </w:r>
    </w:p>
    <w:p>
      <w:pPr>
        <w:numPr>
          <w:ilvl w:val="1"/>
          <w:numId w:val="1009"/>
        </w:numPr>
        <w:pStyle w:val="Compact"/>
      </w:pPr>
      <w:r>
        <w:t xml:space="preserve">selection-on-observables DML, (ii) a prescriber/clinic-preference instrument yielding a</w:t>
      </w:r>
      <w:r>
        <w:t xml:space="preserve"> </w:t>
      </w:r>
      <w:r>
        <w:t xml:space="preserve">LATE among preference-sensitive patients, and (iii) a target-trial ATT on the trimmed</w:t>
      </w:r>
      <w:r>
        <w:t xml:space="preserve"> </w:t>
      </w:r>
      <w:r>
        <w:t xml:space="preserve">common-support sample. Agreement across strategies is the causal evidence.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Aim 4 — Falsification and sensitivity.</w:t>
      </w:r>
      <w:r>
        <w:t xml:space="preserve"> </w:t>
      </w:r>
      <w:r>
        <w:t xml:space="preserve">Apply the pre-specified four-rung ATE robustness</w:t>
      </w:r>
      <w:r>
        <w:t xml:space="preserve"> </w:t>
      </w:r>
      <w:r>
        <w:t xml:space="preserve">ladder (§8(iv)) to every headline contrast — balance/SMD, overlap/positivity, E-value on the</w:t>
      </w:r>
      <w:r>
        <w:t xml:space="preserve"> </w:t>
      </w:r>
      <w:r>
        <w:t xml:space="preserve">point estimate and the CI limit nearest null, and a negative-control outcome — plus</w:t>
      </w:r>
      <w:r>
        <w:t xml:space="preserve"> </w:t>
      </w:r>
      <w:r>
        <w:t xml:space="preserve">proxy-outcome sensitivity (response defined two ways). A claim survives only if the battery does</w:t>
      </w:r>
      <w:r>
        <w:t xml:space="preserve"> </w:t>
      </w:r>
      <w:r>
        <w:t xml:space="preserve">not break it; a claim the battery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break is a reportable null under §4.</w:t>
      </w:r>
    </w:p>
    <w:p>
      <w:r>
        <w:pict>
          <v:rect style="width:0;height:1.5pt" o:hralign="center" o:hrstd="t" o:hr="t"/>
        </w:pict>
      </w:r>
    </w:p>
    <w:bookmarkEnd w:id="26"/>
    <w:bookmarkStart w:id="27" w:name="assets-in-hand-vs.-what-must-be-built"/>
    <w:p>
      <w:pPr>
        <w:pStyle w:val="Heading2"/>
      </w:pPr>
      <w:r>
        <w:t xml:space="preserve">6. Assets in hand vs. what must be built</w:t>
      </w:r>
    </w:p>
    <w:p>
      <w:pPr>
        <w:pStyle w:val="FirstParagraph"/>
      </w:pPr>
      <w:r>
        <w:rPr>
          <w:bCs/>
          <w:b/>
        </w:rPr>
        <w:t xml:space="preserve">Already built and reusable (the shared substrate):</w:t>
      </w:r>
    </w:p>
    <w:p>
      <w:pPr>
        <w:numPr>
          <w:ilvl w:val="0"/>
          <w:numId w:val="1010"/>
        </w:numPr>
        <w:pStyle w:val="Compact"/>
      </w:pPr>
      <w:r>
        <w:t xml:space="preserve">Cohort construction, index-date/new-user logic, time-anchoring, follow-up gating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create_cohort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fit_to_anchor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load_patient_data</w:t>
      </w:r>
      <w:r>
        <w:t xml:space="preserve">) — 42,579-patient MDD−(BD∪SCH) cohort.</w:t>
      </w:r>
    </w:p>
    <w:p>
      <w:pPr>
        <w:numPr>
          <w:ilvl w:val="0"/>
          <w:numId w:val="1010"/>
        </w:numPr>
        <w:pStyle w:val="Compact"/>
      </w:pPr>
      <w:r>
        <w:t xml:space="preserve">Deterministic narratives + four neural embeddings + LLM clinical-similarity judge with a</w:t>
      </w:r>
      <w:r>
        <w:t xml:space="preserve"> </w:t>
      </w:r>
      <w:r>
        <w:t xml:space="preserve">durable cache (</w:t>
      </w:r>
      <w:r>
        <w:rPr>
          <w:rStyle w:val="VerbatimChar"/>
        </w:rPr>
        <w:t xml:space="preserve">embeddings.db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judgements.db</w:t>
      </w:r>
      <w:r>
        <w:t xml:space="preserve">) — the twin retrieval/scoring engine.</w:t>
      </w:r>
    </w:p>
    <w:p>
      <w:pPr>
        <w:numPr>
          <w:ilvl w:val="0"/>
          <w:numId w:val="1010"/>
        </w:numPr>
        <w:pStyle w:val="Compact"/>
      </w:pPr>
      <w:r>
        <w:t xml:space="preserve">Interpretable feature vectors (</w:t>
      </w:r>
      <w:r>
        <w:rPr>
          <w:rStyle w:val="VerbatimChar"/>
        </w:rPr>
        <w:t xml:space="preserve">feature_vectors.parquet</w:t>
      </w:r>
      <w:r>
        <w:t xml:space="preserve">) with treatment-class exposure and</w:t>
      </w:r>
      <w:r>
        <w:t xml:space="preserve"> </w:t>
      </w:r>
      <w:r>
        <w:t xml:space="preserve">medication-burden fields, timing-audited to be measured at or before index.</w:t>
      </w:r>
    </w:p>
    <w:p>
      <w:pPr>
        <w:numPr>
          <w:ilvl w:val="0"/>
          <w:numId w:val="1010"/>
        </w:numPr>
        <w:pStyle w:val="Compact"/>
      </w:pPr>
      <w:r>
        <w:t xml:space="preserve">Causal DML infrastructure (EconML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DRTester</w:t>
      </w:r>
      <w:r>
        <w:t xml:space="preserve">, overlap gating, BLP/ATE/CATE</w:t>
      </w:r>
      <w:r>
        <w:t xml:space="preserve"> </w:t>
      </w:r>
      <w:r>
        <w:t xml:space="preserve">outputs, sign-flip/transitivity validation) — reusable for Aim 3(i) and as the DR nuisance</w:t>
      </w:r>
      <w:r>
        <w:t xml:space="preserve"> </w:t>
      </w:r>
      <w:r>
        <w:t xml:space="preserve">machinery for Aims 1–2.</w:t>
      </w:r>
    </w:p>
    <w:p>
      <w:pPr>
        <w:numPr>
          <w:ilvl w:val="0"/>
          <w:numId w:val="1010"/>
        </w:numPr>
        <w:pStyle w:val="Compact"/>
      </w:pPr>
      <w:r>
        <w:t xml:space="preserve">The TRD label and the shared train/test split.</w:t>
      </w:r>
    </w:p>
    <w:p>
      <w:pPr>
        <w:pStyle w:val="FirstParagraph"/>
      </w:pPr>
      <w:r>
        <w:rPr>
          <w:bCs/>
          <w:b/>
        </w:rPr>
        <w:t xml:space="preserve">Must be built (net-new work, roughly in dependency order):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Treatment-line segmentation + switch-event library</w:t>
      </w:r>
      <w:r>
        <w:t xml:space="preserve"> </w:t>
      </w:r>
      <w:r>
        <w:t xml:space="preserve">(mentor spec Part C2): segment each</w:t>
      </w:r>
      <w:r>
        <w:t xml:space="preserve"> </w:t>
      </w:r>
      <w:r>
        <w:t xml:space="preserve">patient’s antidepressant history into lines with line-start dates, class, adequacy, and</w:t>
      </w:r>
      <w:r>
        <w:t xml:space="preserve"> </w:t>
      </w:r>
      <w:r>
        <w:t xml:space="preserve">adherence proxy; emit one row per observed line-2 decision with the chosen next class and the</w:t>
      </w:r>
      <w:r>
        <w:t xml:space="preserve"> </w:t>
      </w:r>
      <w:r>
        <w:t xml:space="preserve">post-switch outcomes. This is the counterfactual analogue of the Paper-1 twin library.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PHQ-9-free outcome definitions</w:t>
      </w:r>
      <w:r>
        <w:t xml:space="preserve"> </w:t>
      </w:r>
      <w:r>
        <w:t xml:space="preserve">(mentor spec A3(ii); lineage Hughes 2020): acute-response</w:t>
      </w:r>
      <w:r>
        <w:t xml:space="preserve"> </w:t>
      </w:r>
      <w:r>
        <w:t xml:space="preserve">proxy, adverse-discontinuation proxy, and time-to-next-switch, each defined from coded EHR</w:t>
      </w:r>
      <w:r>
        <w:t xml:space="preserve"> </w:t>
      </w:r>
      <w:r>
        <w:t xml:space="preserve">only, each with a documented rationale and a sensitivity variant.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Feasible-candidate gating</w:t>
      </w:r>
      <w:r>
        <w:t xml:space="preserve"> </w:t>
      </w:r>
      <w:r>
        <w:t xml:space="preserve">(spec C3 step 2): per-patient candidate class set after</w:t>
      </w:r>
      <w:r>
        <w:t xml:space="preserve"> </w:t>
      </w:r>
      <w:r>
        <w:t xml:space="preserve">safety/contraindication and already-failed-adequately filters, so we never score an</w:t>
      </w:r>
      <w:r>
        <w:t xml:space="preserve"> </w:t>
      </w:r>
      <w:r>
        <w:t xml:space="preserve">implausible counterfactual.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Propensity / behavior-policy model</w:t>
      </w:r>
      <w:r>
        <w:t xml:space="preserve"> </w:t>
      </w:r>
      <w:r>
        <w:t xml:space="preserve">over classes, on the pre-index feature block, for both</w:t>
      </w:r>
      <w:r>
        <w:t xml:space="preserve"> </w:t>
      </w:r>
      <w:r>
        <w:t xml:space="preserve">the DR estimator and the OPE denominators. Never uses post-decision data.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Off-policy evaluation module</w:t>
      </w:r>
      <w:r>
        <w:t xml:space="preserve">: self-normalized IPS and doubly-robust policy value, with</w:t>
      </w:r>
      <w:r>
        <w:t xml:space="preserve"> </w:t>
      </w:r>
      <w:r>
        <w:t xml:space="preserve">out-of-fold scoring and bootstrap CIs, plus the ESS diagnostic that gates every estimate.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Prescriber/clinic-preference instrument construction</w:t>
      </w:r>
      <w:r>
        <w:t xml:space="preserve"> </w:t>
      </w:r>
      <w:r>
        <w:t xml:space="preserve">(Aim 3(ii)) — see Section 8; this is</w:t>
      </w:r>
      <w:r>
        <w:t xml:space="preserve"> </w:t>
      </w:r>
      <w:r>
        <w:t xml:space="preserve">the feasibility-gated centerpiece.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Falsification battery</w:t>
      </w:r>
      <w:r>
        <w:t xml:space="preserve"> </w:t>
      </w:r>
      <w:r>
        <w:t xml:space="preserve">(Aim 4): negative-control outcome pipeline, E-value computation,</w:t>
      </w:r>
      <w:r>
        <w:t xml:space="preserve"> </w:t>
      </w:r>
      <w:r>
        <w:t xml:space="preserve">overlap-trimming and proxy sensitivity re-runs.</w:t>
      </w:r>
    </w:p>
    <w:p>
      <w:r>
        <w:pict>
          <v:rect style="width:0;height:1.5pt" o:hralign="center" o:hrstd="t" o:hr="t"/>
        </w:pict>
      </w:r>
    </w:p>
    <w:bookmarkEnd w:id="27"/>
    <w:bookmarkStart w:id="28" w:name="design-target-trial-treatments-outcomes"/>
    <w:p>
      <w:pPr>
        <w:pStyle w:val="Heading2"/>
      </w:pPr>
      <w:r>
        <w:t xml:space="preserve">7. Design: target trial, treatments, outcomes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bCs/>
          <w:b/>
        </w:rPr>
        <w:t xml:space="preserve">target-trial emulation</w:t>
      </w:r>
      <w:r>
        <w:t xml:space="preserve"> </w:t>
      </w:r>
      <w:r>
        <w:t xml:space="preserve">(Hernán &amp; Robins) as the framing spine for every contrast — it</w:t>
      </w:r>
      <w:r>
        <w:t xml:space="preserve"> </w:t>
      </w:r>
      <w:r>
        <w:t xml:space="preserve">is what reviewers in comparative effectiveness now expect and it structurally forecloses</w:t>
      </w:r>
      <w:r>
        <w:t xml:space="preserve"> </w:t>
      </w:r>
      <w:r>
        <w:t xml:space="preserve">immortal-time bias.</w:t>
      </w:r>
    </w:p>
    <w:p>
      <w:pPr>
        <w:pStyle w:val="BodyText"/>
      </w:pPr>
      <w:r>
        <w:rPr>
          <w:bCs/>
          <w:b/>
        </w:rPr>
        <w:t xml:space="preserve">Two target trials (the mentor’s Trial 1 and Trial 3):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Trial 1 — initial class selection at index.</w:t>
      </w:r>
      <w:r>
        <w:t xml:space="preserve"> </w:t>
      </w:r>
      <w:r>
        <w:t xml:space="preserve">Eligible: new-user MDD episode, no active</w:t>
      </w:r>
      <w:r>
        <w:t xml:space="preserve"> </w:t>
      </w:r>
      <w:r>
        <w:t xml:space="preserve">antidepressant in the washout. Arms: SSRI / SNRI / bupropion (active-comparator pairwise,</w:t>
      </w:r>
      <w:r>
        <w:t xml:space="preserve"> </w:t>
      </w:r>
      <w:r>
        <w:t xml:space="preserve">matching the current causal build and its comfortable minority-arm N). Time zero: first</w:t>
      </w:r>
      <w:r>
        <w:t xml:space="preserve"> </w:t>
      </w:r>
      <w:r>
        <w:t xml:space="preserve">qualifying dispense. This trial’s</w:t>
      </w:r>
      <w:r>
        <w:t xml:space="preserve"> </w:t>
      </w:r>
      <w:r>
        <w:rPr>
          <w:iCs/>
          <w:i/>
        </w:rPr>
        <w:t xml:space="preserve">prediction</w:t>
      </w:r>
      <w:r>
        <w:t xml:space="preserve"> </w:t>
      </w:r>
      <w:r>
        <w:t xml:space="preserve">side is Paper 1; its</w:t>
      </w:r>
      <w:r>
        <w:t xml:space="preserve"> </w:t>
      </w:r>
      <w:r>
        <w:rPr>
          <w:iCs/>
          <w:i/>
        </w:rPr>
        <w:t xml:space="preserve">policy</w:t>
      </w:r>
      <w:r>
        <w:t xml:space="preserve"> </w:t>
      </w:r>
      <w:r>
        <w:t xml:space="preserve">side is Paper 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Trial 3 — next-class selection after line-1 non-response/intolerance.</w:t>
      </w:r>
      <w:r>
        <w:t xml:space="preserve"> </w:t>
      </w:r>
      <w:r>
        <w:t xml:space="preserve">This is the mentor’s</w:t>
      </w:r>
      <w:r>
        <w:t xml:space="preserve"> </w:t>
      </w:r>
      <w:r>
        <w:t xml:space="preserve">primary Part C scenario and the true novelty locus: eligible patients reach a switch decision</w:t>
      </w:r>
      <w:r>
        <w:t xml:space="preserve"> </w:t>
      </w:r>
      <w:r>
        <w:t xml:space="preserve">point; arms are the feasible next classes; time zero is the switch. Requires the switch-event</w:t>
      </w:r>
      <w:r>
        <w:t xml:space="preserve"> </w:t>
      </w:r>
      <w:r>
        <w:t xml:space="preserve">library (Section 6, item 1).</w:t>
      </w:r>
    </w:p>
    <w:p>
      <w:pPr>
        <w:pStyle w:val="FirstParagraph"/>
      </w:pPr>
      <w:r>
        <w:t xml:space="preserve">Deliberately</w:t>
      </w:r>
      <w:r>
        <w:t xml:space="preserve"> </w:t>
      </w:r>
      <w:r>
        <w:rPr>
          <w:bCs/>
          <w:b/>
        </w:rPr>
        <w:t xml:space="preserve">defer</w:t>
      </w:r>
      <w:r>
        <w:t xml:space="preserve"> </w:t>
      </w:r>
      <w:r>
        <w:t xml:space="preserve">Trial 2 (adequate-trial/persistence) to a landmark sensitivity analysis —</w:t>
      </w:r>
      <w:r>
        <w:t xml:space="preserve"> </w:t>
      </w:r>
      <w:r>
        <w:t xml:space="preserve">it carries immortal-time risk the mentor’s doc flags, and it is not the headline.</w:t>
      </w:r>
    </w:p>
    <w:p>
      <w:pPr>
        <w:pStyle w:val="BodyText"/>
      </w:pPr>
      <w:r>
        <w:rPr>
          <w:bCs/>
          <w:b/>
        </w:rPr>
        <w:t xml:space="preserve">Outcomes (no PHQ-9; all coded-EHR proxies, each with a sensitivity variant):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Response proxy</w:t>
      </w:r>
      <w:r>
        <w:t xml:space="preserve"> </w:t>
      </w:r>
      <w:r>
        <w:t xml:space="preserve">— treatment stability through the acute window (no switch/augment/</w:t>
      </w:r>
      <w:r>
        <w:t xml:space="preserve"> </w:t>
      </w:r>
      <w:r>
        <w:t xml:space="preserve">discontinue-for-inefficacy), per Hughes 2020. Sensitivity variant: switch-or-augment within</w:t>
      </w:r>
      <w:r>
        <w:t xml:space="preserve"> </w:t>
      </w:r>
      <w:r>
        <w:t xml:space="preserve">the window as the failure event.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Adverse-discontinuation proxy</w:t>
      </w:r>
      <w:r>
        <w:t xml:space="preserve"> </w:t>
      </w:r>
      <w:r>
        <w:t xml:space="preserve">— stop/switch within ~28 days plus an intolerance signal.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Time-to-next-switch</w:t>
      </w:r>
      <w:r>
        <w:t xml:space="preserve"> </w:t>
      </w:r>
      <w:r>
        <w:t xml:space="preserve">as a secondary continuous-ish outcome.</w:t>
      </w:r>
    </w:p>
    <w:p>
      <w:pPr>
        <w:numPr>
          <w:ilvl w:val="0"/>
          <w:numId w:val="1013"/>
        </w:numPr>
        <w:pStyle w:val="Compact"/>
      </w:pPr>
      <w:r>
        <w:t xml:space="preserve">The manuscript must</w:t>
      </w:r>
      <w:r>
        <w:t xml:space="preserve"> </w:t>
      </w:r>
      <w:r>
        <w:rPr>
          <w:bCs/>
          <w:b/>
        </w:rPr>
        <w:t xml:space="preserve">report performance separately</w:t>
      </w:r>
      <w:r>
        <w:t xml:space="preserve"> </w:t>
      </w:r>
      <w:r>
        <w:t xml:space="preserve">for any subgroup where a symptom scale is</w:t>
      </w:r>
      <w:r>
        <w:t xml:space="preserve"> </w:t>
      </w:r>
      <w:r>
        <w:t xml:space="preserve">available vs not, and must state the proxy’s known misclassification directions (Jeter’s</w:t>
      </w:r>
      <w:r>
        <w:t xml:space="preserve"> </w:t>
      </w:r>
      <w:r>
        <w:t xml:space="preserve">warning: the proxy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reward; defend it explicitly).</w:t>
      </w:r>
    </w:p>
    <w:p>
      <w:pPr>
        <w:pStyle w:val="FirstParagraph"/>
      </w:pPr>
      <w:r>
        <w:rPr>
          <w:bCs/>
          <w:b/>
        </w:rPr>
        <w:t xml:space="preserve">Covariates / effect modifiers (not treatments):</w:t>
      </w:r>
      <w:r>
        <w:t xml:space="preserve"> </w:t>
      </w:r>
      <w:r>
        <w:t xml:space="preserve">medication burden (polypharmacy, benzo,</w:t>
      </w:r>
      <w:r>
        <w:t xml:space="preserve"> </w:t>
      </w:r>
      <w:r>
        <w:t xml:space="preserve">hypnotics, NSAID), prior-AD exposure, utilization, comorbidities — exactly the mentor’s CRF-doc</w:t>
      </w:r>
      <w:r>
        <w:t xml:space="preserve"> </w:t>
      </w:r>
      <w:r>
        <w:t xml:space="preserve">classification. Timing already audited (</w:t>
      </w:r>
      <w:r>
        <w:rPr>
          <w:rStyle w:val="VerbatimChar"/>
        </w:rPr>
        <w:t xml:space="preserve">CAUSAL_IDENTIFICATION.md</w:t>
      </w:r>
      <w:r>
        <w:t xml:space="preserve"> </w:t>
      </w:r>
      <w:r>
        <w:t xml:space="preserve">§2): every covariate is</w:t>
      </w:r>
      <w:r>
        <w:t xml:space="preserve"> </w:t>
      </w:r>
      <w:r>
        <w:t xml:space="preserve">measured at or before the decision point.</w:t>
      </w:r>
    </w:p>
    <w:p>
      <w:r>
        <w:pict>
          <v:rect style="width:0;height:1.5pt" o:hralign="center" o:hrstd="t" o:hr="t"/>
        </w:pict>
      </w:r>
    </w:p>
    <w:bookmarkEnd w:id="28"/>
    <w:bookmarkStart w:id="29" w:name="X3118a9be31a3237cad316ac094d585a49e12781"/>
    <w:p>
      <w:pPr>
        <w:pStyle w:val="Heading2"/>
      </w:pPr>
      <w:r>
        <w:t xml:space="preserve">8. The identification triangulation (the scientific core)</w:t>
      </w:r>
    </w:p>
    <w:p>
      <w:pPr>
        <w:pStyle w:val="FirstParagraph"/>
      </w:pPr>
      <w:r>
        <w:t xml:space="preserve">Three routes to the same class-contrast estimand. The evidence is their</w:t>
      </w:r>
      <w:r>
        <w:t xml:space="preserve"> </w:t>
      </w:r>
      <w:r>
        <w:rPr>
          <w:bCs/>
          <w:b/>
        </w:rPr>
        <w:t xml:space="preserve">agreement</w:t>
      </w:r>
      <w:r>
        <w:t xml:space="preserve">, not any</w:t>
      </w:r>
      <w:r>
        <w:t xml:space="preserve"> </w:t>
      </w:r>
      <w:r>
        <w:t xml:space="preserve">single point estimate.</w:t>
      </w:r>
    </w:p>
    <w:p>
      <w:pPr>
        <w:pStyle w:val="BodyText"/>
      </w:pPr>
      <w:r>
        <w:rPr>
          <w:bCs/>
          <w:b/>
        </w:rPr>
        <w:t xml:space="preserve">(i) Selection-on-observables (DML).</w:t>
      </w:r>
      <w:r>
        <w:t xml:space="preserve"> </w:t>
      </w:r>
      <w:r>
        <w:t xml:space="preserve">Reuse the existing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DRTester</w:t>
      </w:r>
      <w:r>
        <w:t xml:space="preserve"> </w:t>
      </w:r>
      <w:r>
        <w:t xml:space="preserve">build.</w:t>
      </w:r>
      <w:r>
        <w:t xml:space="preserve"> </w:t>
      </w:r>
      <w:r>
        <w:t xml:space="preserve">This is the weakest identification (assumes the CIA we know is violated) but the most flexible;</w:t>
      </w:r>
      <w:r>
        <w:t xml:space="preserve"> </w:t>
      </w:r>
      <w:r>
        <w:t xml:space="preserve">it sets the ceiling on measured-covariate adjustment and supplies the DR nuisance functions used</w:t>
      </w:r>
      <w:r>
        <w:t xml:space="preserve"> </w:t>
      </w:r>
      <w:r>
        <w:t xml:space="preserve">elsewhere. Expectation, from current results: near-null with faint heterogeneity.</w:t>
      </w:r>
    </w:p>
    <w:p>
      <w:pPr>
        <w:pStyle w:val="BodyText"/>
      </w:pPr>
      <w:r>
        <w:rPr>
          <w:bCs/>
          <w:b/>
        </w:rPr>
        <w:t xml:space="preserve">(ii) Prescriber/clinic-preference instrument → LATE (the headline pivot).</w:t>
      </w:r>
      <w:r>
        <w:t xml:space="preserve"> </w:t>
      </w:r>
      <w:r>
        <w:rPr>
          <w:bCs/>
          <w:b/>
        </w:rPr>
        <w:t xml:space="preserve">Feasibility</w:t>
      </w:r>
      <w:r>
        <w:rPr>
          <w:bCs/>
          <w:b/>
        </w:rPr>
        <w:t xml:space="preserve"> </w:t>
      </w:r>
      <w:r>
        <w:rPr>
          <w:bCs/>
          <w:b/>
        </w:rPr>
        <w:t xml:space="preserve">confirmed at the schema level:</w:t>
      </w:r>
      <w:r>
        <w:t xml:space="preserve"> </w:t>
      </w:r>
      <w:r>
        <w:t xml:space="preserve">the Encounter table carries</w:t>
      </w:r>
      <w:r>
        <w:t xml:space="preserve"> </w:t>
      </w:r>
      <w:r>
        <w:rPr>
          <w:rStyle w:val="VerbatimChar"/>
        </w:rPr>
        <w:t xml:space="preserve">ProviderName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DepartmentName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DepartmentKey</w:t>
      </w:r>
      <w:r>
        <w:t xml:space="preserve">, and the Medication table carries</w:t>
      </w:r>
      <w:r>
        <w:t xml:space="preserve"> </w:t>
      </w:r>
      <w:r>
        <w:rPr>
          <w:rStyle w:val="VerbatimChar"/>
        </w:rPr>
        <w:t xml:space="preserve">EncounterId_SH</w:t>
      </w:r>
      <w:r>
        <w:t xml:space="preserve"> </w:t>
      </w:r>
      <w:r>
        <w:t xml:space="preserve">— so a medication order</w:t>
      </w:r>
      <w:r>
        <w:t xml:space="preserve"> </w:t>
      </w:r>
      <w:r>
        <w:t xml:space="preserve">can be joined to its ordering encounter’s provider and clinic. This makes a Brookhart-style</w:t>
      </w:r>
      <w:r>
        <w:t xml:space="preserve"> </w:t>
      </w:r>
      <w:r>
        <w:t xml:space="preserve">prescribing-preference instrument constructible (Davies et al. 2013 validated exactly this — for</w:t>
      </w:r>
      <w:r>
        <w:t xml:space="preserve"> </w:t>
      </w:r>
      <w:r>
        <w:t xml:space="preserve">SHORT-TERM effects; see the horizon caveat in the Paper 2 reference README — for</w:t>
      </w:r>
      <w:r>
        <w:t xml:space="preserve"> </w:t>
      </w:r>
      <w:r>
        <w:t xml:space="preserve">antidepressants). The instrument candidates, in order of defensibility: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Clinic/department baseline class-rate</w:t>
      </w:r>
      <w:r>
        <w:t xml:space="preserve"> </w:t>
      </w:r>
      <w:r>
        <w:t xml:space="preserve">(department-level lean). Usually the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defensible</w:t>
      </w:r>
      <w:r>
        <w:t xml:space="preserve"> </w:t>
      </w:r>
      <w:r>
        <w:t xml:space="preserve">on independence grounds — patients are less selectively sorted to a whole clinic’s baseline</w:t>
      </w:r>
      <w:r>
        <w:t xml:space="preserve"> </w:t>
      </w:r>
      <w:r>
        <w:t xml:space="preserve">prescribing tendency than to an individual physician — and sidesteps sparse per-provider cells.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Provider’s previous-patient class</w:t>
      </w:r>
      <w:r>
        <w:t xml:space="preserve"> </w:t>
      </w:r>
      <w:r>
        <w:t xml:space="preserve">(the classic Brookhart</w:t>
      </w:r>
      <w:r>
        <w:t xml:space="preserve"> </w:t>
      </w:r>
      <w:r>
        <w:t xml:space="preserve">“</w:t>
      </w:r>
      <w:r>
        <w:t xml:space="preserve">last prescription</w:t>
      </w:r>
      <w:r>
        <w:t xml:space="preserve">”</w:t>
      </w:r>
      <w:r>
        <w:t xml:space="preserve"> </w:t>
      </w:r>
      <w:r>
        <w:t xml:space="preserve">instrument).</w:t>
      </w:r>
    </w:p>
    <w:p>
      <w:pPr>
        <w:pStyle w:val="FirstParagraph"/>
      </w:pPr>
      <w:r>
        <w:t xml:space="preserve">Four assumptions must each be argued and, where possible, tested, and the manuscript must state</w:t>
      </w:r>
      <w:r>
        <w:t xml:space="preserve"> </w:t>
      </w:r>
      <w:r>
        <w:t xml:space="preserve">them explicitly (Widding-Havneraas 2021 — reviewers penalize unstated preference-IV assumptions):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Relevance / first stage</w:t>
      </w:r>
      <w:r>
        <w:t xml:space="preserve"> </w:t>
      </w:r>
      <w:r>
        <w:t xml:space="preserve">— the provider/clinic lean must strongly shift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patient’s</w:t>
      </w:r>
      <w:r>
        <w:t xml:space="preserve"> </w:t>
      </w:r>
      <w:r>
        <w:t xml:space="preserve">class.</w:t>
      </w:r>
      <w:r>
        <w:t xml:space="preserve"> </w:t>
      </w:r>
      <w:r>
        <w:rPr>
          <w:iCs/>
          <w:i/>
        </w:rPr>
        <w:t xml:space="preserve">Test empirically and report the first-stage strength; a weak instrument is worse than</w:t>
      </w:r>
      <w:r>
        <w:rPr>
          <w:iCs/>
          <w:i/>
        </w:rPr>
        <w:t xml:space="preserve"> </w:t>
      </w:r>
      <w:r>
        <w:rPr>
          <w:iCs/>
          <w:i/>
        </w:rPr>
        <w:t xml:space="preserve">none.</w:t>
      </w:r>
      <w:r>
        <w:t xml:space="preserve"> </w:t>
      </w:r>
      <w:r>
        <w:t xml:space="preserve">This is the make-or-break gate (Section 9).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Independence</w:t>
      </w:r>
      <w:r>
        <w:t xml:space="preserve"> </w:t>
      </w:r>
      <w:r>
        <w:t xml:space="preserve">— which provider/clinic a patient lands on is as-good-as-random w.r.t.</w:t>
      </w:r>
      <w:r>
        <w:t xml:space="preserve"> </w:t>
      </w:r>
      <w:r>
        <w:t xml:space="preserve">unmeasured severity, conditional on covariates.</w:t>
      </w:r>
      <w:r>
        <w:t xml:space="preserve"> </w:t>
      </w:r>
      <w:r>
        <w:rPr>
          <w:iCs/>
          <w:i/>
        </w:rPr>
        <w:t xml:space="preserve">Threat to log: triage-by-severity (sickest</w:t>
      </w:r>
      <w:r>
        <w:rPr>
          <w:iCs/>
          <w:i/>
        </w:rPr>
        <w:t xml:space="preserve"> </w:t>
      </w:r>
      <w:r>
        <w:rPr>
          <w:iCs/>
          <w:i/>
        </w:rPr>
        <w:t xml:space="preserve">routed to specialists). Condition on clinic/covariates and argue residual randomness.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Exclusion</w:t>
      </w:r>
      <w:r>
        <w:t xml:space="preserve"> </w:t>
      </w:r>
      <w:r>
        <w:t xml:space="preserve">— provider preference affects the outcome only through the class chosen.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Monotonicity</w:t>
      </w:r>
      <w:r>
        <w:t xml:space="preserve"> </w:t>
      </w:r>
      <w:r>
        <w:t xml:space="preserve">— a provider’s lean never makes a patient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likely to get that class.</w:t>
      </w:r>
    </w:p>
    <w:p>
      <w:pPr>
        <w:pStyle w:val="FirstParagraph"/>
      </w:pPr>
      <w:r>
        <w:t xml:space="preserve">Payoff: a clean</w:t>
      </w:r>
      <w:r>
        <w:t xml:space="preserve"> </w:t>
      </w:r>
      <w:r>
        <w:rPr>
          <w:bCs/>
          <w:b/>
        </w:rPr>
        <w:t xml:space="preserve">LATE among preference-sensitive patients</w:t>
      </w:r>
      <w:r>
        <w:t xml:space="preserve"> </w:t>
      </w:r>
      <w:r>
        <w:t xml:space="preserve">where we currently have a confounded</w:t>
      </w:r>
      <w:r>
        <w:t xml:space="preserve"> </w:t>
      </w:r>
      <w:r>
        <w:t xml:space="preserve">ATE. Mandatory caveats to state: LATE is local to compliers and silent on always/never-takers, so</w:t>
      </w:r>
      <w:r>
        <w:t xml:space="preserve"> </w:t>
      </w:r>
      <w:r>
        <w:t xml:space="preserve">LATE ≠ ATE ≠ population policy value. If a prescriber-level (not clinic-level) design is used,</w:t>
      </w:r>
      <w:r>
        <w:t xml:space="preserve"> </w:t>
      </w:r>
      <w:r>
        <w:t xml:space="preserve">cluster standard errors by provider (Moulton).</w:t>
      </w:r>
    </w:p>
    <w:p>
      <w:pPr>
        <w:pStyle w:val="BodyText"/>
      </w:pPr>
      <w:r>
        <w:rPr>
          <w:bCs/>
          <w:b/>
        </w:rPr>
        <w:t xml:space="preserve">(iii) Target-trial ATT on trimmed common support.</w:t>
      </w:r>
      <w:r>
        <w:t xml:space="preserve"> </w:t>
      </w:r>
      <w:r>
        <w:t xml:space="preserve">Change the estimand to the effect on the</w:t>
      </w:r>
      <w:r>
        <w:t xml:space="preserve"> </w:t>
      </w:r>
      <w:r>
        <w:t xml:space="preserve">treated in the minority arm (bupropion / SNRI initiators, N ≥ 4,768) with aggressive overlap</w:t>
      </w:r>
      <w:r>
        <w:t xml:space="preserve"> </w:t>
      </w:r>
      <w:r>
        <w:t xml:space="preserve">trimming and a reported covariate-balance table. This is better-powered and more policy-relevant</w:t>
      </w:r>
      <w:r>
        <w:t xml:space="preserve"> </w:t>
      </w:r>
      <w:r>
        <w:t xml:space="preserve">(</w:t>
      </w:r>
      <w:r>
        <w:t xml:space="preserve">“</w:t>
      </w:r>
      <w:r>
        <w:t xml:space="preserve">who actually got switched</w:t>
      </w:r>
      <w:r>
        <w:t xml:space="preserve">”</w:t>
      </w:r>
      <w:r>
        <w:t xml:space="preserve">) than a population CATE surface, per</w:t>
      </w:r>
      <w:r>
        <w:t xml:space="preserve"> </w:t>
      </w:r>
      <w:r>
        <w:rPr>
          <w:rStyle w:val="VerbatimChar"/>
        </w:rPr>
        <w:t xml:space="preserve">CAUSAL_IDENTIFICATION.md</w:t>
      </w:r>
      <w:r>
        <w:t xml:space="preserve"> </w:t>
      </w:r>
      <w:r>
        <w:t xml:space="preserve">§5D.</w:t>
      </w:r>
    </w:p>
    <w:p>
      <w:pPr>
        <w:pStyle w:val="BodyText"/>
      </w:pPr>
      <w:r>
        <w:rPr>
          <w:bCs/>
          <w:b/>
        </w:rPr>
        <w:t xml:space="preserve">(iv) The ATE robustness ladder (how each contrast’s average effect is defended).</w:t>
      </w:r>
      <w:r>
        <w:t xml:space="preserve"> </w:t>
      </w:r>
      <w:r>
        <w:t xml:space="preserve">Whichever</w:t>
      </w:r>
      <w:r>
        <w:t xml:space="preserve"> </w:t>
      </w:r>
      <w:r>
        <w:t xml:space="preserve">route above produces a contrast, its ATE is defended by a fixed, pre-specified four-rung ladder,</w:t>
      </w:r>
      <w:r>
        <w:t xml:space="preserve"> </w:t>
      </w:r>
      <w:r>
        <w:t xml:space="preserve">reported for every headline contrast. The rungs escalate: 1–2 clean the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world, 3</w:t>
      </w:r>
      <w:r>
        <w:t xml:space="preserve"> </w:t>
      </w:r>
      <w:r>
        <w:rPr>
          <w:iCs/>
          <w:i/>
        </w:rPr>
        <w:t xml:space="preserve">bounds</w:t>
      </w:r>
      <w:r>
        <w:t xml:space="preserve"> </w:t>
      </w:r>
      <w:r>
        <w:t xml:space="preserve">the unmeasured, 4 tries to</w:t>
      </w:r>
      <w:r>
        <w:t xml:space="preserve"> </w:t>
      </w:r>
      <w:r>
        <w:rPr>
          <w:iCs/>
          <w:i/>
        </w:rPr>
        <w:t xml:space="preserve">catch</w:t>
      </w:r>
      <w:r>
        <w:t xml:space="preserve"> </w:t>
      </w:r>
      <w:r>
        <w:t xml:space="preserve">it in the act.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p>
            <w:pPr>
              <w:pStyle w:val="Compact"/>
              <w:jc w:val="left"/>
            </w:pPr>
            <w:r>
              <w:t xml:space="preserve">What it attacks</w:t>
            </w:r>
          </w:p>
        </w:tc>
        <w:tc>
          <w:p>
            <w:pPr>
              <w:pStyle w:val="Compact"/>
              <w:jc w:val="left"/>
            </w:pPr>
            <w:r>
              <w:t xml:space="preserve">Instrument / 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(SMD)</w:t>
            </w:r>
          </w:p>
        </w:tc>
        <w:tc>
          <w:p>
            <w:pPr>
              <w:pStyle w:val="Compact"/>
              <w:jc w:val="left"/>
            </w:pPr>
            <w:r>
              <w:t xml:space="preserve">measured imbalance between arms</w:t>
            </w:r>
          </w:p>
        </w:tc>
        <w:tc>
          <w:p>
            <w:pPr>
              <w:pStyle w:val="Compact"/>
              <w:jc w:val="left"/>
            </w:pPr>
            <w:r>
              <w:t xml:space="preserve">standardized mean difference = (mean_A − mean_B) / pooled SD, per covariate, computed</w:t>
            </w:r>
            <w:r>
              <w:t xml:space="preserve"> </w:t>
            </w:r>
            <w:r>
              <w:rPr>
                <w:bCs/>
                <w:b/>
              </w:rPr>
              <w:t xml:space="preserve">three ways</w:t>
            </w:r>
            <w:r>
              <w:t xml:space="preserve"> </w:t>
            </w:r>
            <w:r>
              <w:t xml:space="preserve">— raw over every eligible patient, hard-trimmed over the in-band population, and overlap-weighted — reporting raw and hard-trimmed as the table with overlap-weighted as a sensitivity column, since a balance table with no</w:t>
            </w:r>
            <w:r>
              <w:t xml:space="preserve"> </w:t>
            </w:r>
            <w:r>
              <w:t xml:space="preserve">“</w:t>
            </w:r>
            <w:r>
              <w:t xml:space="preserve">before</w:t>
            </w:r>
            <w:r>
              <w:t xml:space="preserve">”</w:t>
            </w:r>
            <w:r>
              <w:t xml:space="preserve"> </w:t>
            </w:r>
            <w:r>
              <w:t xml:space="preserve">column cannot show that adjustment did anything; target |SMD| &lt; 0.1 (0.1–0.2 mild, &gt; 0.2 material)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Overlap / positivity</w:t>
            </w:r>
          </w:p>
        </w:tc>
        <w:tc>
          <w:p>
            <w:pPr>
              <w:pStyle w:val="Compact"/>
              <w:jc w:val="left"/>
            </w:pPr>
            <w:r>
              <w:t xml:space="preserve">non-comparability, model extrapolation</w:t>
            </w:r>
          </w:p>
        </w:tc>
        <w:tc>
          <w:p>
            <w:pPr>
              <w:pStyle w:val="Compact"/>
              <w:jc w:val="left"/>
            </w:pPr>
            <w:r>
              <w:t xml:space="preserve">propensity e(X) = P(comparison arm | X), fit on train and evaluated on test; trim outside the 0.10/0.90 band; estimand becomes the overlap population, stated as such; trimmed</w:t>
            </w:r>
            <w:r>
              <w:t xml:space="preserve"> </w:t>
            </w:r>
            <w:r>
              <w:rPr>
                <w:bCs/>
                <w:b/>
              </w:rPr>
              <w:t xml:space="preserve">and retained</w:t>
            </w:r>
            <w:r>
              <w:t xml:space="preserve"> </w:t>
            </w:r>
            <w:r>
              <w:t xml:space="preserve">count and share reported</w:t>
            </w:r>
            <w:r>
              <w:t xml:space="preserve"> </w:t>
            </w:r>
            <w:r>
              <w:rPr>
                <w:bCs/>
                <w:b/>
              </w:rPr>
              <w:t xml:space="preserve">per arm</w:t>
            </w:r>
            <w:r>
              <w:t xml:space="preserve">, never pooled or silent, with the reference-to-comparison arm ratio given either side of the band; e(X) drawn per arm with the band edges marked; and the propensity model itself judged formally — calibration (slope, intercept, reliability table, Brier), its arm-discrimination c-statistic</w:t>
            </w:r>
            <w:r>
              <w:t xml:space="preserve"> </w:t>
            </w:r>
            <w:r>
              <w:rPr>
                <w:iCs/>
                <w:i/>
              </w:rPr>
              <w:t xml:space="preserve">where high is bad</w:t>
            </w:r>
            <w:r>
              <w:t xml:space="preserve">, the overlap coefficient between the two arm-conditional densities, and the Kish ESS under the overlap weights. Reported</w:t>
            </w:r>
            <w:r>
              <w:t xml:space="preserve"> </w:t>
            </w:r>
            <w:r>
              <w:rPr>
                <w:bCs/>
                <w:b/>
              </w:rPr>
              <w:t xml:space="preserve">twice</w:t>
            </w:r>
            <w:r>
              <w:t xml:space="preserve">: the hard-trimmed average as headline, plus an overlap-weighted average, e(X)·(1 − e(X)), as sensitivity (see the note below the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E-value</w:t>
            </w:r>
          </w:p>
        </w:tc>
        <w:tc>
          <w:p>
            <w:pPr>
              <w:pStyle w:val="Compact"/>
              <w:jc w:val="left"/>
            </w:pPr>
            <w:r>
              <w:t xml:space="preserve">unmeasured confounding (bound)</w:t>
            </w:r>
          </w:p>
        </w:tc>
        <w:tc>
          <w:p>
            <w:pPr>
              <w:pStyle w:val="Compact"/>
              <w:jc w:val="left"/>
            </w:pPr>
            <w:r>
              <w:t xml:space="preserve">E = RR + √(RR·(RR−1)) on the effect expressed as a risk ratio; report on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the point estimate and the CI limit nearest null; benchmark against the strongest measured covariate’s two arrows (RR-with-treatment, RR-with-outcome), which must</w:t>
            </w:r>
            <w:r>
              <w:t xml:space="preserve"> </w:t>
            </w:r>
            <w:r>
              <w:rPr>
                <w:iCs/>
                <w:i/>
              </w:rPr>
              <w:t xml:space="preserve">both</w:t>
            </w:r>
            <w:r>
              <w:t xml:space="preserve"> </w:t>
            </w:r>
            <w:r>
              <w:t xml:space="preserve">clear E to be a threat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Negative-control outcome</w:t>
            </w:r>
          </w:p>
        </w:tc>
        <w:tc>
          <w:p>
            <w:pPr>
              <w:pStyle w:val="Compact"/>
              <w:jc w:val="left"/>
            </w:pPr>
            <w:r>
              <w:t xml:space="preserve">unmeasured confounding (detect)</w:t>
            </w:r>
          </w:p>
        </w:tc>
        <w:tc>
          <w:p>
            <w:pPr>
              <w:pStyle w:val="Compact"/>
              <w:jc w:val="left"/>
            </w:pPr>
            <w:r>
              <w:t xml:space="preserve">rerun the whole pipeline on an outcome the class cannot plausibly cause (NSAID use, fracture/injury); true effect is known-zero, so any detected effect is confounding leaking through the backdoor treatment ← U → outcome — a direct falsification of the CIA, not a bound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rung 2 — hard trim vs. overlap weights (decided 2026-08-19).</w:t>
      </w:r>
      <w:r>
        <w:t xml:space="preserve"> </w:t>
      </w:r>
      <w:r>
        <w:t xml:space="preserve">The 0.10/0.90 trim is a step</w:t>
      </w:r>
      <w:r>
        <w:t xml:space="preserve"> </w:t>
      </w:r>
      <w:r>
        <w:t xml:space="preserve">function: full weight inside the band, none outside. Its virtue is an estimand nameable in one</w:t>
      </w:r>
      <w:r>
        <w:t xml:space="preserve"> </w:t>
      </w:r>
      <w:r>
        <w:t xml:space="preserve">sentence, and a band shared with the causal-forest package, which keeps the two triangulating</w:t>
      </w:r>
      <w:r>
        <w:t xml:space="preserve"> </w:t>
      </w:r>
      <w:r>
        <w:t xml:space="preserve">estimators comparable. Its vice is the cliff — a patient at e(X) = 0.101 counts fully and one at</w:t>
      </w:r>
      <w:r>
        <w:t xml:space="preserve"> </w:t>
      </w:r>
      <w:r>
        <w:t xml:space="preserve">0.099 not at all. So the same per-patient contrasts are additionally averaged under</w:t>
      </w:r>
      <w:r>
        <w:t xml:space="preserve"> </w:t>
      </w:r>
      <w:r>
        <w:rPr>
          <w:bCs/>
          <w:b/>
        </w:rPr>
        <w:t xml:space="preserve">overlap</w:t>
      </w:r>
      <w:r>
        <w:rPr>
          <w:bCs/>
          <w:b/>
        </w:rPr>
        <w:t xml:space="preserve"> </w:t>
      </w:r>
      <w:r>
        <w:rPr>
          <w:bCs/>
          <w:b/>
        </w:rPr>
        <w:t xml:space="preserve">weights</w:t>
      </w:r>
      <w:r>
        <w:t xml:space="preserve">, e(X)·(1 − e(X)) (Li, Morgan &amp; Zaslavsky 2018, JASA,</w:t>
      </w:r>
      <w:r>
        <w:t xml:space="preserve"> </w:t>
      </w:r>
      <w:r>
        <w:rPr>
          <w:iCs/>
          <w:i/>
        </w:rPr>
        <w:t xml:space="preserve">Balancing covariates via propensity</w:t>
      </w:r>
      <w:r>
        <w:rPr>
          <w:iCs/>
          <w:i/>
        </w:rPr>
        <w:t xml:space="preserve"> </w:t>
      </w:r>
      <w:r>
        <w:rPr>
          <w:iCs/>
          <w:i/>
        </w:rPr>
        <w:t xml:space="preserve">score weighting</w:t>
      </w:r>
      <w:r>
        <w:t xml:space="preserve">): weight peaks where both treatments are equally plausible and tapers smoothly to</w:t>
      </w:r>
      <w:r>
        <w:t xml:space="preserve"> </w:t>
      </w:r>
      <w:r>
        <w:t xml:space="preserve">zero at either extreme. Its estimand is a weighted pseudo-population and therefore harder to</w:t>
      </w:r>
      <w:r>
        <w:t xml:space="preserve"> </w:t>
      </w:r>
      <w:r>
        <w:t xml:space="preserve">describe to a clinician, which is why it is the sensitivity rather than the headline. Agreement</w:t>
      </w:r>
      <w:r>
        <w:t xml:space="preserve"> </w:t>
      </w:r>
      <w:r>
        <w:t xml:space="preserve">between the two is the evidence that the effect does not depend on where the cutoff was drawn.</w:t>
      </w:r>
    </w:p>
    <w:p>
      <w:pPr>
        <w:pStyle w:val="BodyText"/>
      </w:pPr>
      <w:r>
        <w:t xml:space="preserve">Both are computed from one propensity column, so the second costs a weighted mean. Note also what</w:t>
      </w:r>
      <w:r>
        <w:t xml:space="preserve"> </w:t>
      </w:r>
      <w:r>
        <w:t xml:space="preserve">neither buys: reporting each patient’s e(X) alongside an unsupported counterfactual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license averaging that counterfactual in. A caveat attached to a row does not repair a mean that has</w:t>
      </w:r>
      <w:r>
        <w:t xml:space="preserve"> </w:t>
      </w:r>
      <w:r>
        <w:t xml:space="preserve">already absorbed a fabricated number, and the error in an extrapolated counterfactual is unbounded.</w:t>
      </w:r>
      <w:r>
        <w:t xml:space="preserve"> </w:t>
      </w:r>
      <w:r>
        <w:t xml:space="preserve">The rule is therefore: report every patient’s risks and propensity, average over a defensible subset.</w:t>
      </w:r>
    </w:p>
    <w:p>
      <w:pPr>
        <w:pStyle w:val="BodyText"/>
      </w:pPr>
      <w:r>
        <w:t xml:space="preserve">A contrast’s ATE is called credible only if it survives all four; an ATE caught confounded by</w:t>
      </w:r>
      <w:r>
        <w:t xml:space="preserve"> </w:t>
      </w:r>
      <w:r>
        <w:t xml:space="preserve">rung 4 (or shown fragile by a rung-3 E-value below the strongest measured confounder) is itself a</w:t>
      </w:r>
      <w:r>
        <w:t xml:space="preserve"> </w:t>
      </w:r>
      <w:r>
        <w:t xml:space="preserve">reportable finding under the §4 reframe, not a failure. This ladder is the concrete content of</w:t>
      </w:r>
      <w:r>
        <w:t xml:space="preserve"> </w:t>
      </w:r>
      <w:r>
        <w:t xml:space="preserve">Aim 4 and supplies the covariate-balance table that route (iii) also requires.</w:t>
      </w:r>
    </w:p>
    <w:p>
      <w:r>
        <w:pict>
          <v:rect style="width:0;height:1.5pt" o:hralign="center" o:hrstd="t" o:hr="t"/>
        </w:pict>
      </w:r>
    </w:p>
    <w:bookmarkEnd w:id="29"/>
    <w:bookmarkStart w:id="30" w:name="feasibility-gates-and-risk-register"/>
    <w:p>
      <w:pPr>
        <w:pStyle w:val="Heading2"/>
      </w:pPr>
      <w:r>
        <w:t xml:space="preserve">9. Feasibility gates and risk register</w:t>
      </w:r>
    </w:p>
    <w:p>
      <w:pPr>
        <w:pStyle w:val="FirstParagraph"/>
      </w:pPr>
      <w:r>
        <w:t xml:space="preserve">The project has hard go/no-go gates. Each must be checked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dependent work, and the</w:t>
      </w:r>
      <w:r>
        <w:t xml:space="preserve"> </w:t>
      </w:r>
      <w:r>
        <w:t xml:space="preserve">outcome logged. This is where honesty about feasibility lives.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If it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 relevance</w:t>
            </w:r>
          </w:p>
        </w:tc>
        <w:tc>
          <w:p>
            <w:pPr>
              <w:pStyle w:val="Compact"/>
              <w:jc w:val="left"/>
            </w:pPr>
            <w:r>
              <w:t xml:space="preserve">Join med orders → ordering provider/clinic; measure between-provider/clinic prescribing variation and first-stage strength (does clinic lean shift patient class?).</w:t>
            </w:r>
          </w:p>
        </w:tc>
        <w:tc>
          <w:p>
            <w:pPr>
              <w:pStyle w:val="Compact"/>
              <w:jc w:val="left"/>
            </w:pPr>
            <w:r>
              <w:t xml:space="preserve">Instrument arm (Aim 3ii) is dead. Fall back to DML + ATT + full sensitivity battery as the ceiling. Paper becomes</w:t>
            </w:r>
            <w:r>
              <w:t xml:space="preserve"> </w:t>
            </w:r>
            <w:r>
              <w:t xml:space="preserve">“</w:t>
            </w:r>
            <w:r>
              <w:t xml:space="preserve">honest null with rigor.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 = prescriber validity</w:t>
            </w:r>
          </w:p>
        </w:tc>
        <w:tc>
          <w:p>
            <w:pPr>
              <w:pStyle w:val="Compact"/>
              <w:jc w:val="left"/>
            </w:pPr>
            <w:r>
              <w:t xml:space="preserve">Confirm the encounter</w:t>
            </w:r>
            <w:r>
              <w:t xml:space="preserve"> </w:t>
            </w:r>
            <w:r>
              <w:rPr>
                <w:rStyle w:val="VerbatimChar"/>
              </w:rPr>
              <w:t xml:space="preserve">ProviderName</w:t>
            </w:r>
            <w:r>
              <w:t xml:space="preserve"> </w:t>
            </w:r>
            <w:r>
              <w:t xml:space="preserve">on a med-linked encounter is plausibly the ordering clinician, not an unrelated visit provider.</w:t>
            </w:r>
          </w:p>
        </w:tc>
        <w:tc>
          <w:p>
            <w:pPr>
              <w:pStyle w:val="Compact"/>
              <w:jc w:val="left"/>
            </w:pPr>
            <w:r>
              <w:t xml:space="preserve">Use department/clinic-level instrument only (arguably preferable anyway); do not claim a physician-level instrument.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Switch-event sample size</w:t>
            </w:r>
          </w:p>
        </w:tc>
        <w:tc>
          <w:p>
            <w:pPr>
              <w:pStyle w:val="Compact"/>
              <w:jc w:val="left"/>
            </w:pPr>
            <w:r>
              <w:t xml:space="preserve">Count patients with an observed, adequately-observed line-2 decision per candidate class.</w:t>
            </w:r>
          </w:p>
        </w:tc>
        <w:tc>
          <w:p>
            <w:pPr>
              <w:pStyle w:val="Compact"/>
              <w:jc w:val="left"/>
            </w:pPr>
            <w:r>
              <w:t xml:space="preserve">Restrict Trial 3 to the 2–3 best-powered next-class contrasts; report the rest descriptively.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Overlap / positivity per contrast</w:t>
            </w:r>
          </w:p>
        </w:tc>
        <w:tc>
          <w:p>
            <w:pPr>
              <w:pStyle w:val="Compact"/>
              <w:jc w:val="left"/>
            </w:pPr>
            <w:r>
              <w:t xml:space="preserve">Existing overlap gate (0.10/0.90) on each class pair at the switch decision.</w:t>
            </w:r>
          </w:p>
        </w:tc>
        <w:tc>
          <w:p>
            <w:pPr>
              <w:pStyle w:val="Compact"/>
              <w:jc w:val="left"/>
            </w:pPr>
            <w:r>
              <w:t xml:space="preserve">Drop contrasts that fail; report which and why (no silent truncation).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sample size per OPE estimate</w:t>
            </w:r>
          </w:p>
        </w:tc>
        <w:tc>
          <w:p>
            <w:pPr>
              <w:pStyle w:val="Compact"/>
              <w:jc w:val="left"/>
            </w:pPr>
            <w:r>
              <w:t xml:space="preserve">Compute ESS on every importance-weighted value (the single most common way OPE lies — see the Medicaid</w:t>
            </w:r>
            <w:r>
              <w:t xml:space="preserve"> </w:t>
            </w:r>
            <w:r>
              <w:t xml:space="preserve">“</w:t>
            </w:r>
            <w:r>
              <w:t xml:space="preserve">0.0% ESS</w:t>
            </w:r>
            <w:r>
              <w:t xml:space="preserve">”</w:t>
            </w:r>
            <w:r>
              <w:t xml:space="preserve"> </w:t>
            </w:r>
            <w:r>
              <w:t xml:space="preserve">cautionary case).</w:t>
            </w:r>
          </w:p>
        </w:tc>
        <w:tc>
          <w:p>
            <w:pPr>
              <w:pStyle w:val="Compact"/>
              <w:jc w:val="left"/>
            </w:pPr>
            <w:r>
              <w:t xml:space="preserve">Report</w:t>
            </w:r>
            <w:r>
              <w:t xml:space="preserve"> </w:t>
            </w:r>
            <w:r>
              <w:t xml:space="preserve">“</w:t>
            </w:r>
            <w:r>
              <w:t xml:space="preserve">insufficient similar patients</w:t>
            </w:r>
            <w:r>
              <w:t xml:space="preserve">”</w:t>
            </w:r>
            <w:r>
              <w:t xml:space="preserve"> </w:t>
            </w:r>
            <w:r>
              <w:t xml:space="preserve">rather than a number.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Proxy-outcome defensibility</w:t>
            </w:r>
          </w:p>
        </w:tc>
        <w:tc>
          <w:p>
            <w:pPr>
              <w:pStyle w:val="Compact"/>
              <w:jc w:val="left"/>
            </w:pPr>
            <w:r>
              <w:t xml:space="preserve">Sensitivity: response defined two ways; do conclusions flip?</w:t>
            </w:r>
          </w:p>
        </w:tc>
        <w:tc>
          <w:p>
            <w:pPr>
              <w:pStyle w:val="Compact"/>
              <w:jc w:val="left"/>
            </w:pPr>
            <w:r>
              <w:t xml:space="preserve">If conclusions are proxy-dependent, that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finding — report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Standing scientific risks (state in the manuscript’s limitations):</w:t>
      </w:r>
    </w:p>
    <w:p>
      <w:pPr>
        <w:numPr>
          <w:ilvl w:val="0"/>
          <w:numId w:val="1016"/>
        </w:numPr>
        <w:pStyle w:val="Compact"/>
      </w:pPr>
      <w:r>
        <w:t xml:space="preserve">Confounding by indication persists under DML; only the instrument arm addresses unmeasured</w:t>
      </w:r>
      <w:r>
        <w:t xml:space="preserve"> </w:t>
      </w:r>
      <w:r>
        <w:t xml:space="preserve">severity, and only among compliers.</w:t>
      </w:r>
    </w:p>
    <w:p>
      <w:pPr>
        <w:numPr>
          <w:ilvl w:val="0"/>
          <w:numId w:val="1016"/>
        </w:numPr>
        <w:pStyle w:val="Compact"/>
      </w:pPr>
      <w:r>
        <w:t xml:space="preserve">The proxy outcome is not a symptom scale; it can misclassify response.</w:t>
      </w:r>
    </w:p>
    <w:p>
      <w:pPr>
        <w:numPr>
          <w:ilvl w:val="0"/>
          <w:numId w:val="1016"/>
        </w:numPr>
        <w:pStyle w:val="Compact"/>
      </w:pPr>
      <w:r>
        <w:t xml:space="preserve">Single-site EHR; care outside the system is missing.</w:t>
      </w:r>
    </w:p>
    <w:p>
      <w:pPr>
        <w:numPr>
          <w:ilvl w:val="0"/>
          <w:numId w:val="1016"/>
        </w:numPr>
        <w:pStyle w:val="Compact"/>
      </w:pPr>
      <w:r>
        <w:t xml:space="preserve">LLM-similarity twins do not solve confounding — they are a</w:t>
      </w:r>
      <w:r>
        <w:t xml:space="preserve"> </w:t>
      </w:r>
      <w:r>
        <w:rPr>
          <w:iCs/>
          <w:i/>
        </w:rPr>
        <w:t xml:space="preserve">representation</w:t>
      </w:r>
      <w:r>
        <w:t xml:space="preserve">, and their</w:t>
      </w:r>
      <w:r>
        <w:t xml:space="preserve"> </w:t>
      </w:r>
      <w:r>
        <w:t xml:space="preserve">weighting can inherit the same selection structure. The OPE and IV arms, not the twins, carry</w:t>
      </w:r>
      <w:r>
        <w:t xml:space="preserve"> </w:t>
      </w:r>
      <w:r>
        <w:t xml:space="preserve">the causal claim.</w:t>
      </w:r>
    </w:p>
    <w:p>
      <w:r>
        <w:pict>
          <v:rect style="width:0;height:1.5pt" o:hralign="center" o:hrstd="t" o:hr="t"/>
        </w:pict>
      </w:r>
    </w:p>
    <w:bookmarkEnd w:id="30"/>
    <w:bookmarkStart w:id="31" w:name="Xee2f9de515f5ea18304aac54fa2cb82fdefbb5a"/>
    <w:p>
      <w:pPr>
        <w:pStyle w:val="Heading2"/>
      </w:pPr>
      <w:r>
        <w:t xml:space="preserve">10. Evaluation plan (mirrors mentor spec Part C4)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Layer 1 — observed-treatment outcome prediction.</w:t>
      </w:r>
      <w:r>
        <w:t xml:space="preserve"> </w:t>
      </w:r>
      <w:r>
        <w:t xml:space="preserve">On held-out switch events, predict the</w:t>
      </w:r>
      <w:r>
        <w:t xml:space="preserve"> </w:t>
      </w:r>
      <w:r>
        <w:t xml:space="preserve">outcome for the drug actually received; report Brier/log-loss, calibration, AUROC. Tests whether</w:t>
      </w:r>
      <w:r>
        <w:t xml:space="preserve"> </w:t>
      </w:r>
      <w:r>
        <w:t xml:space="preserve">the twin method predicts outcomes</w:t>
      </w:r>
      <w:r>
        <w:t xml:space="preserve"> </w:t>
      </w:r>
      <w:r>
        <w:rPr>
          <w:iCs/>
          <w:i/>
        </w:rPr>
        <w:t xml:space="preserve">when the treatment is known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Layer 2 — policy value (off-policy).</w:t>
      </w:r>
      <w:r>
        <w:t xml:space="preserve"> </w:t>
      </w:r>
      <w:r>
        <w:t xml:space="preserve">Self-normalized IPS as the minimum viable estimator;</w:t>
      </w:r>
      <w:r>
        <w:t xml:space="preserve"> </w:t>
      </w:r>
      <w:r>
        <w:t xml:space="preserve">doubly-robust as the primary. Compare the</w:t>
      </w:r>
      <w:r>
        <w:t xml:space="preserve"> </w:t>
      </w:r>
      <w:r>
        <w:t xml:space="preserve">“</w:t>
      </w:r>
      <w:r>
        <w:t xml:space="preserve">follow the rule</w:t>
      </w:r>
      <w:r>
        <w:t xml:space="preserve">”</w:t>
      </w:r>
      <w:r>
        <w:t xml:space="preserve"> </w:t>
      </w:r>
      <w:r>
        <w:t xml:space="preserve">value against the observed</w:t>
      </w:r>
      <w:r>
        <w:t xml:space="preserve"> </w:t>
      </w:r>
      <w:r>
        <w:t xml:space="preserve">prescribing policy and against reference policies (</w:t>
      </w:r>
      <w:r>
        <w:t xml:space="preserve">“</w:t>
      </w:r>
      <w:r>
        <w:t xml:space="preserve">always SSRI</w:t>
      </w:r>
      <w:r>
        <w:t xml:space="preserve">”</w:t>
      </w:r>
      <w:r>
        <w:t xml:space="preserve">). Out-of-fold; bootstrap CIs.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Layer 3 — sensitivity.</w:t>
      </w:r>
      <w:r>
        <w:t xml:space="preserve"> </w:t>
      </w:r>
      <w:r>
        <w:t xml:space="preserve">Vary retrieval K and weighting sharpness; restrict to high-overlap</w:t>
      </w:r>
      <w:r>
        <w:t xml:space="preserve"> </w:t>
      </w:r>
      <w:r>
        <w:t xml:space="preserve">cases; separate non-response vs intolerance switches; per-class breakdown; PRO-available vs</w:t>
      </w:r>
      <w:r>
        <w:t xml:space="preserve"> </w:t>
      </w:r>
      <w:r>
        <w:t xml:space="preserve">not. If the method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only in one narrow configuration, report that.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Layer 4 — negative control / leakage.</w:t>
      </w:r>
      <w:r>
        <w:t xml:space="preserve"> </w:t>
      </w:r>
      <w:r>
        <w:t xml:space="preserve">Confirm predictions do not change when post-decision</w:t>
      </w:r>
      <w:r>
        <w:t xml:space="preserve"> </w:t>
      </w:r>
      <w:r>
        <w:t xml:space="preserve">data is removed; evaluate a negative-control outcome antidepressant choice cannot plausibly</w:t>
      </w:r>
      <w:r>
        <w:t xml:space="preserve"> </w:t>
      </w:r>
      <w:r>
        <w:t xml:space="preserve">cause. A signal there falsifies the design.</w:t>
      </w:r>
    </w:p>
    <w:p>
      <w:pPr>
        <w:pStyle w:val="FirstParagraph"/>
      </w:pPr>
      <w:r>
        <w:rPr>
          <w:bCs/>
          <w:b/>
        </w:rPr>
        <w:t xml:space="preserve">Ablations that prove the twin adds value</w:t>
      </w:r>
      <w:r>
        <w:t xml:space="preserve"> </w:t>
      </w:r>
      <w:r>
        <w:t xml:space="preserve">(spec C4 step 6): replace LLM similarity with plain</w:t>
      </w:r>
      <w:r>
        <w:t xml:space="preserve"> </w:t>
      </w:r>
      <w:r>
        <w:t xml:space="preserve">cosine; drop medication-burden variables; drop anxiety/pain variables — performance drops confirm</w:t>
      </w:r>
      <w:r>
        <w:t xml:space="preserve"> </w:t>
      </w:r>
      <w:r>
        <w:t xml:space="preserve">meaningful signal (or their absence confirms the twin adds nothing, also reportable).</w:t>
      </w:r>
    </w:p>
    <w:p>
      <w:r>
        <w:pict>
          <v:rect style="width:0;height:1.5pt" o:hralign="center" o:hrstd="t" o:hr="t"/>
        </w:pict>
      </w:r>
    </w:p>
    <w:bookmarkEnd w:id="31"/>
    <w:bookmarkStart w:id="32" w:name="X621981c307607ab0d575e64b474bc9eadb37715"/>
    <w:p>
      <w:pPr>
        <w:pStyle w:val="Heading2"/>
      </w:pPr>
      <w:r>
        <w:t xml:space="preserve">11. Phased plan (semester-scale, matching Paper 1’s arc)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0 — Feasibility gates (weeks 1–2).</w:t>
      </w:r>
      <w:r>
        <w:t xml:space="preserve"> </w:t>
      </w:r>
      <w:r>
        <w:t xml:space="preserve">Run G1/G2 (instrument) and G3 (switch counts)</w:t>
      </w:r>
      <w:r>
        <w:t xml:space="preserve"> </w:t>
      </w:r>
      <w:r>
        <w:rPr>
          <w:iCs/>
          <w:i/>
        </w:rPr>
        <w:t xml:space="preserve">first</w:t>
      </w:r>
      <w:r>
        <w:t xml:space="preserve">. Their outcome determines whether the paper is</w:t>
      </w:r>
      <w:r>
        <w:t xml:space="preserve"> </w:t>
      </w:r>
      <w:r>
        <w:t xml:space="preserve">“</w:t>
      </w:r>
      <w:r>
        <w:t xml:space="preserve">triangulated causal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rigorous null.</w:t>
      </w:r>
      <w:r>
        <w:t xml:space="preserve">”</w:t>
      </w:r>
      <w:r>
        <w:t xml:space="preserve"> </w:t>
      </w:r>
      <w:r>
        <w:t xml:space="preserve">Nothing downstream is worth building before these resolve.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1 — Outcomes + switch library (weeks 2–5).</w:t>
      </w:r>
      <w:r>
        <w:t xml:space="preserve"> </w:t>
      </w:r>
      <w:r>
        <w:t xml:space="preserve">Treatment-line segmentation, the three</w:t>
      </w:r>
      <w:r>
        <w:t xml:space="preserve"> </w:t>
      </w:r>
      <w:r>
        <w:t xml:space="preserve">proxy outcomes with sensitivity variants, the switch-event library, candidate-gating.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2 — Estimation (weeks 5–8).</w:t>
      </w:r>
      <w:r>
        <w:t xml:space="preserve"> </w:t>
      </w:r>
      <w:r>
        <w:t xml:space="preserve">Propensity/behavior-policy model; DML re-run on switch</w:t>
      </w:r>
      <w:r>
        <w:t xml:space="preserve"> </w:t>
      </w:r>
      <w:r>
        <w:t xml:space="preserve">contrasts (Aim 3i); twin-based counterfactual outcome estimates (Aim 1); ESS gating.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3 — Policy + OPE (weeks 8–10).</w:t>
      </w:r>
      <w:r>
        <w:t xml:space="preserve"> </w:t>
      </w:r>
      <w:r>
        <w:t xml:space="preserve">Utility definition, recommendation rule, SNIPS + DR</w:t>
      </w:r>
      <w:r>
        <w:t xml:space="preserve"> </w:t>
      </w:r>
      <w:r>
        <w:t xml:space="preserve">policy value out-of-fold with CIs (Aim 2).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4 — Instrument + ATT (weeks 9–12, overlaps).</w:t>
      </w:r>
      <w:r>
        <w:t xml:space="preserve"> </w:t>
      </w:r>
      <w:r>
        <w:t xml:space="preserve">If G1/G2 passed: build the</w:t>
      </w:r>
      <w:r>
        <w:t xml:space="preserve"> </w:t>
      </w:r>
      <w:r>
        <w:t xml:space="preserve">preference instrument, estimate the LATE, cluster SEs; build the trimmed-support ATT.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5 — Falsification battery (weeks 11–13).</w:t>
      </w:r>
      <w:r>
        <w:t xml:space="preserve"> </w:t>
      </w:r>
      <w:r>
        <w:t xml:space="preserve">Negative controls, E-values, all sensitivity</w:t>
      </w:r>
      <w:r>
        <w:t xml:space="preserve"> </w:t>
      </w:r>
      <w:r>
        <w:t xml:space="preserve">re-runs (Aim 4).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 6 — Write-up (weeks 13–16).</w:t>
      </w:r>
      <w:r>
        <w:t xml:space="preserve"> </w:t>
      </w:r>
      <w:r>
        <w:t xml:space="preserve">Target-trial protocol table, results, the triangulation</w:t>
      </w:r>
      <w:r>
        <w:t xml:space="preserve"> </w:t>
      </w:r>
      <w:r>
        <w:t xml:space="preserve">verdict, honest limitations.</w:t>
      </w:r>
    </w:p>
    <w:p>
      <w:pPr>
        <w:pStyle w:val="FirstParagraph"/>
      </w:pPr>
      <w:r>
        <w:t xml:space="preserve">Reuse the existing SLURM orchestration pattern (</w:t>
      </w:r>
      <w:r>
        <w:rPr>
          <w:rStyle w:val="VerbatimChar"/>
        </w:rPr>
        <w:t xml:space="preserve">slurm_jobs/pipeline/causal/</w:t>
      </w:r>
      <w:r>
        <w:t xml:space="preserve">) and the</w:t>
      </w:r>
      <w:r>
        <w:t xml:space="preserve"> </w:t>
      </w:r>
      <w:r>
        <w:t xml:space="preserve">one-folder-per-contrast output layout; the new modules slot alongside the causal build, not</w:t>
      </w:r>
      <w:r>
        <w:t xml:space="preserve"> </w:t>
      </w:r>
      <w:r>
        <w:t xml:space="preserve">inside Paper 1’s frozen prediction modules.</w:t>
      </w:r>
    </w:p>
    <w:p>
      <w:r>
        <w:pict>
          <v:rect style="width:0;height:1.5pt" o:hralign="center" o:hrstd="t" o:hr="t"/>
        </w:pict>
      </w:r>
    </w:p>
    <w:bookmarkEnd w:id="32"/>
    <w:bookmarkStart w:id="33" w:name="publication-target"/>
    <w:p>
      <w:pPr>
        <w:pStyle w:val="Heading2"/>
      </w:pPr>
      <w:r>
        <w:t xml:space="preserve">12. Publication target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a methods-forward comparative-effectiveness / clinical-informatics venue that</w:t>
      </w:r>
      <w:r>
        <w:t xml:space="preserve"> </w:t>
      </w:r>
      <w:r>
        <w:t xml:space="preserve">rewards rigor over positive results —</w:t>
      </w:r>
      <w:r>
        <w:t xml:space="preserve"> </w:t>
      </w:r>
      <w:r>
        <w:rPr>
          <w:iCs/>
          <w:i/>
        </w:rPr>
        <w:t xml:space="preserve">npj Digital Medicine</w:t>
      </w:r>
      <w:r>
        <w:t xml:space="preserve"> </w:t>
      </w:r>
      <w:r>
        <w:t xml:space="preserve">(where Sheu/Perlis landed),</w:t>
      </w:r>
      <w:r>
        <w:t xml:space="preserve"> </w:t>
      </w:r>
      <w:r>
        <w:rPr>
          <w:iCs/>
          <w:i/>
        </w:rPr>
        <w:t xml:space="preserve">JAMA Network Open</w:t>
      </w:r>
      <w:r>
        <w:t xml:space="preserve">, or a comparative-effectiveness methods journal. The Gottesman-guideline</w:t>
      </w:r>
      <w:r>
        <w:t xml:space="preserve"> </w:t>
      </w:r>
      <w:r>
        <w:t xml:space="preserve">framing and target-trial protocol make it a fit even with a null headline.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Framing sentence for the abstract:</w:t>
      </w:r>
      <w:r>
        <w:t xml:space="preserve"> </w:t>
      </w:r>
      <w:r>
        <w:t xml:space="preserve">“</w:t>
      </w:r>
      <w:r>
        <w:t xml:space="preserve">We show that on EHR data an antidepressant-selection</w:t>
      </w:r>
      <w:r>
        <w:t xml:space="preserve"> </w:t>
      </w:r>
      <w:r>
        <w:t xml:space="preserve">policy’s apparent value is [survives / collapses] under instrumental-variable identification</w:t>
      </w:r>
      <w:r>
        <w:t xml:space="preserve"> </w:t>
      </w:r>
      <w:r>
        <w:t xml:space="preserve">and a pre-specified falsification battery, and we provide the protocol for testing it.</w:t>
      </w:r>
      <w:r>
        <w:t xml:space="preserve">”</w:t>
      </w:r>
      <w:r>
        <w:t xml:space="preserve"> </w:t>
      </w:r>
      <w:r>
        <w:t xml:space="preserve">Fill</w:t>
      </w:r>
      <w:r>
        <w:t xml:space="preserve"> </w:t>
      </w:r>
      <w:r>
        <w:t xml:space="preserve">the bracket with the truth Phase 5 returns.</w:t>
      </w:r>
    </w:p>
    <w:p>
      <w:r>
        <w:pict>
          <v:rect style="width:0;height:1.5pt" o:hralign="center" o:hrstd="t" o:hr="t"/>
        </w:pict>
      </w:r>
    </w:p>
    <w:bookmarkEnd w:id="33"/>
    <w:bookmarkStart w:id="34" w:name="X803e811213834fd7b768ace823e45a5b136b34f"/>
    <w:p>
      <w:pPr>
        <w:pStyle w:val="Heading2"/>
      </w:pPr>
      <w:r>
        <w:t xml:space="preserve">13. What</w:t>
      </w:r>
      <w:r>
        <w:t xml:space="preserve"> </w:t>
      </w:r>
      <w:r>
        <w:t xml:space="preserve">“</w:t>
      </w:r>
      <w:r>
        <w:t xml:space="preserve">novel, feasible, and grounded</w:t>
      </w:r>
      <w:r>
        <w:t xml:space="preserve">”</w:t>
      </w:r>
      <w:r>
        <w:t xml:space="preserve"> </w:t>
      </w:r>
      <w:r>
        <w:t xml:space="preserve">resolves to (blunt summary)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Feasible:</w:t>
      </w:r>
      <w:r>
        <w:t xml:space="preserve"> </w:t>
      </w:r>
      <w:r>
        <w:t xml:space="preserve">yes, but</w:t>
      </w:r>
      <w:r>
        <w:t xml:space="preserve"> </w:t>
      </w:r>
      <w:r>
        <w:rPr>
          <w:iCs/>
          <w:i/>
        </w:rPr>
        <w:t xml:space="preserve">conditional on G1/G2</w:t>
      </w:r>
      <w:r>
        <w:t xml:space="preserve">. The substrate, cohort, DML machinery, and</w:t>
      </w:r>
      <w:r>
        <w:t xml:space="preserve"> </w:t>
      </w:r>
      <w:r>
        <w:t xml:space="preserve">outcome-proxy lineage are all in hand. The schema check confirms a prescriber/clinic identifier</w:t>
      </w:r>
      <w:r>
        <w:t xml:space="preserve"> </w:t>
      </w:r>
      <w:r>
        <w:t xml:space="preserve">exists, so the one identification move that could carry a real causal claim is at least</w:t>
      </w:r>
      <w:r>
        <w:t xml:space="preserve"> </w:t>
      </w:r>
      <w:r>
        <w:t xml:space="preserve">constructible. The switch-event library and OPE module are the main net-new engineering.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Novel:</w:t>
      </w:r>
      <w:r>
        <w:t xml:space="preserve"> </w:t>
      </w:r>
      <w:r>
        <w:t xml:space="preserve">not as</w:t>
      </w:r>
      <w:r>
        <w:t xml:space="preserve"> </w:t>
      </w:r>
      <w:r>
        <w:t xml:space="preserve">“</w:t>
      </w:r>
      <w:r>
        <w:t xml:space="preserve">first EHR antidepressant policy</w:t>
      </w:r>
      <w:r>
        <w:t xml:space="preserve">”</w:t>
      </w:r>
      <w:r>
        <w:t xml:space="preserve"> </w:t>
      </w:r>
      <w:r>
        <w:t xml:space="preserve">(Bilu took that), but as the first</w:t>
      </w:r>
      <w:r>
        <w:t xml:space="preserve"> </w:t>
      </w:r>
      <w:r>
        <w:t xml:space="preserve">outcome-validated LLM-similarity-twin recommender, with class breadth beyond three SSRIs, a</w:t>
      </w:r>
      <w:r>
        <w:t xml:space="preserve"> </w:t>
      </w:r>
      <w:r>
        <w:t xml:space="preserve">prescriber-preference IV triangulation, and a falsification-first evaluation — a defensible</w:t>
      </w:r>
      <w:r>
        <w:t xml:space="preserve"> </w:t>
      </w:r>
      <w:r>
        <w:t xml:space="preserve">combination-and-rigor novelty.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Grounded:</w:t>
      </w:r>
      <w:r>
        <w:t xml:space="preserve"> </w:t>
      </w:r>
      <w:r>
        <w:t xml:space="preserve">every design choice above traces to a verified citation (Section 2), the mentor’s</w:t>
      </w:r>
      <w:r>
        <w:t xml:space="preserve"> </w:t>
      </w:r>
      <w:r>
        <w:t xml:space="preserve">spec, our own econometric constraints doc, or our own (null) results. The honest expected</w:t>
      </w:r>
      <w:r>
        <w:t xml:space="preserve"> </w:t>
      </w:r>
      <w:r>
        <w:t xml:space="preserve">outcome is a</w:t>
      </w:r>
      <w:r>
        <w:t xml:space="preserve"> </w:t>
      </w:r>
      <w:r>
        <w:rPr>
          <w:iCs/>
          <w:i/>
        </w:rPr>
        <w:t xml:space="preserve">fragile-or-null</w:t>
      </w:r>
      <w:r>
        <w:t xml:space="preserve"> </w:t>
      </w:r>
      <w:r>
        <w:t xml:space="preserve">signal — and the entire design is built so that outcome is the</w:t>
      </w:r>
      <w:r>
        <w:t xml:space="preserve"> </w:t>
      </w:r>
      <w:r>
        <w:t xml:space="preserve">paper, not a failure of it.</w:t>
      </w:r>
    </w:p>
    <w:p>
      <w:r>
        <w:pict>
          <v:rect style="width:0;height:1.5pt" o:hralign="center" o:hrstd="t" o:hr="t"/>
        </w:pict>
      </w:r>
    </w:p>
    <w:bookmarkEnd w:id="34"/>
    <w:bookmarkStart w:id="35" w:name="X826acf79970c7991fa977fd4ed6eb237398fafb"/>
    <w:p>
      <w:pPr>
        <w:pStyle w:val="Heading2"/>
      </w:pPr>
      <w:r>
        <w:t xml:space="preserve">14. References (verified; to be formatted at write-up)</w:t>
      </w:r>
    </w:p>
    <w:p>
      <w:pPr>
        <w:numPr>
          <w:ilvl w:val="0"/>
          <w:numId w:val="1021"/>
        </w:numPr>
        <w:pStyle w:val="Compact"/>
      </w:pPr>
      <w:r>
        <w:t xml:space="preserve">Athey S, Wager S. Policy learning with observational data.</w:t>
      </w:r>
      <w:r>
        <w:t xml:space="preserve"> </w:t>
      </w:r>
      <w:r>
        <w:rPr>
          <w:iCs/>
          <w:i/>
        </w:rPr>
        <w:t xml:space="preserve">Econometrica</w:t>
      </w:r>
      <w:r>
        <w:t xml:space="preserve"> </w:t>
      </w:r>
      <w:r>
        <w:t xml:space="preserve">2021;89(1):133–161.</w:t>
      </w:r>
    </w:p>
    <w:p>
      <w:pPr>
        <w:numPr>
          <w:ilvl w:val="0"/>
          <w:numId w:val="1021"/>
        </w:numPr>
        <w:pStyle w:val="Compact"/>
      </w:pPr>
      <w:r>
        <w:t xml:space="preserve">Dudík M, Langford J, Li L. Doubly robust policy evaluation and learning.</w:t>
      </w:r>
      <w:r>
        <w:t xml:space="preserve"> </w:t>
      </w:r>
      <w:r>
        <w:rPr>
          <w:iCs/>
          <w:i/>
        </w:rPr>
        <w:t xml:space="preserve">ICML</w:t>
      </w:r>
      <w:r>
        <w:t xml:space="preserve"> </w:t>
      </w:r>
      <w:r>
        <w:t xml:space="preserve">2011.</w:t>
      </w:r>
    </w:p>
    <w:p>
      <w:pPr>
        <w:numPr>
          <w:ilvl w:val="0"/>
          <w:numId w:val="1021"/>
        </w:numPr>
        <w:pStyle w:val="Compact"/>
      </w:pPr>
      <w:r>
        <w:t xml:space="preserve">Swaminathan A, Joachims T. The self-normalized estimator for counterfactual learning.</w:t>
      </w:r>
      <w:r>
        <w:t xml:space="preserve"> </w:t>
      </w:r>
      <w:r>
        <w:rPr>
          <w:iCs/>
          <w:i/>
        </w:rPr>
        <w:t xml:space="preserve">NeurIPS</w:t>
      </w:r>
      <w:r>
        <w:t xml:space="preserve"> </w:t>
      </w:r>
      <w:r>
        <w:t xml:space="preserve">2015.</w:t>
      </w:r>
    </w:p>
    <w:p>
      <w:pPr>
        <w:numPr>
          <w:ilvl w:val="0"/>
          <w:numId w:val="1021"/>
        </w:numPr>
        <w:pStyle w:val="Compact"/>
      </w:pPr>
      <w:r>
        <w:t xml:space="preserve">Komorowski M, et al. The AI Clinician learns optimal treatment strategies for sepsis.</w:t>
      </w:r>
      <w:r>
        <w:t xml:space="preserve"> </w:t>
      </w:r>
      <w:r>
        <w:rPr>
          <w:iCs/>
          <w:i/>
        </w:rPr>
        <w:t xml:space="preserve">Nat Med</w:t>
      </w:r>
      <w:r>
        <w:t xml:space="preserve"> </w:t>
      </w:r>
      <w:r>
        <w:t xml:space="preserve">2018;24:1716–1720.</w:t>
      </w:r>
    </w:p>
    <w:p>
      <w:pPr>
        <w:numPr>
          <w:ilvl w:val="0"/>
          <w:numId w:val="1021"/>
        </w:numPr>
        <w:pStyle w:val="Compact"/>
      </w:pPr>
      <w:r>
        <w:t xml:space="preserve">Gottesman O, et al. Guidelines for reinforcement learning in healthcare.</w:t>
      </w:r>
      <w:r>
        <w:t xml:space="preserve"> </w:t>
      </w:r>
      <w:r>
        <w:rPr>
          <w:iCs/>
          <w:i/>
        </w:rPr>
        <w:t xml:space="preserve">Nat Med</w:t>
      </w:r>
      <w:r>
        <w:t xml:space="preserve"> </w:t>
      </w:r>
      <w:r>
        <w:t xml:space="preserve">2019;25:16–18.</w:t>
      </w:r>
    </w:p>
    <w:p>
      <w:pPr>
        <w:numPr>
          <w:ilvl w:val="0"/>
          <w:numId w:val="1021"/>
        </w:numPr>
        <w:pStyle w:val="Compact"/>
      </w:pPr>
      <w:r>
        <w:t xml:space="preserve">Jeter R, et al. Does the</w:t>
      </w:r>
      <w:r>
        <w:t xml:space="preserve"> </w:t>
      </w:r>
      <w:r>
        <w:t xml:space="preserve">“</w:t>
      </w:r>
      <w:r>
        <w:t xml:space="preserve">AI Clinician</w:t>
      </w:r>
      <w:r>
        <w:t xml:space="preserve">”</w:t>
      </w:r>
      <w:r>
        <w:t xml:space="preserve"> </w:t>
      </w:r>
      <w:r>
        <w:t xml:space="preserve">learn optimal treatment strategies for sepsis?</w:t>
      </w:r>
      <w:r>
        <w:t xml:space="preserve"> </w:t>
      </w:r>
      <w:r>
        <w:rPr>
          <w:iCs/>
          <w:i/>
        </w:rPr>
        <w:t xml:space="preserve">arXiv</w:t>
      </w:r>
      <w:r>
        <w:t xml:space="preserve">:1902.03271, 2019.</w:t>
      </w:r>
    </w:p>
    <w:p>
      <w:pPr>
        <w:numPr>
          <w:ilvl w:val="0"/>
          <w:numId w:val="1021"/>
        </w:numPr>
        <w:pStyle w:val="Compact"/>
      </w:pPr>
      <w:r>
        <w:t xml:space="preserve">Hernán MA, Robins JM. Using big data to emulate a target trial.</w:t>
      </w:r>
      <w:r>
        <w:t xml:space="preserve"> </w:t>
      </w:r>
      <w:r>
        <w:rPr>
          <w:iCs/>
          <w:i/>
        </w:rPr>
        <w:t xml:space="preserve">Am J Epidemiol</w:t>
      </w:r>
      <w:r>
        <w:t xml:space="preserve"> </w:t>
      </w:r>
      <w:r>
        <w:t xml:space="preserve">2016;183(8):758–764.</w:t>
      </w:r>
    </w:p>
    <w:p>
      <w:pPr>
        <w:numPr>
          <w:ilvl w:val="0"/>
          <w:numId w:val="1021"/>
        </w:numPr>
        <w:pStyle w:val="Compact"/>
      </w:pPr>
      <w:r>
        <w:t xml:space="preserve">Brookhart MA, et al. Evaluating short-term drug effects using physician prescribing preference as an IV.</w:t>
      </w:r>
      <w:r>
        <w:t xml:space="preserve"> </w:t>
      </w:r>
      <w:r>
        <w:rPr>
          <w:iCs/>
          <w:i/>
        </w:rPr>
        <w:t xml:space="preserve">Epidemiology</w:t>
      </w:r>
      <w:r>
        <w:t xml:space="preserve"> </w:t>
      </w:r>
      <w:r>
        <w:t xml:space="preserve">2006;17(3):268–275.</w:t>
      </w:r>
    </w:p>
    <w:p>
      <w:pPr>
        <w:numPr>
          <w:ilvl w:val="0"/>
          <w:numId w:val="1021"/>
        </w:numPr>
        <w:pStyle w:val="Compact"/>
      </w:pPr>
      <w:r>
        <w:t xml:space="preserve">Davies NM, Gunnell D, Thomas KH, Metcalfe C, Windmeijer F, Martin RM. Physicians’ prescribing preferences were a potential instrument for patients’ actual prescriptions of antidepressants.</w:t>
      </w:r>
      <w:r>
        <w:t xml:space="preserve"> </w:t>
      </w:r>
      <w:r>
        <w:rPr>
          <w:iCs/>
          <w:i/>
        </w:rPr>
        <w:t xml:space="preserve">J Clin Epidemiol</w:t>
      </w:r>
      <w:r>
        <w:t xml:space="preserve"> </w:t>
      </w:r>
      <w:r>
        <w:t xml:space="preserve">2013;66(12):1386–1396. doi:10.1016/j.jclinepi.2013.06.008.</w:t>
      </w:r>
      <w:r>
        <w:t xml:space="preserve"> </w:t>
      </w:r>
      <w:r>
        <w:rPr>
          <w:iCs/>
          <w:i/>
        </w:rPr>
        <w:t xml:space="preserve">(PDF held; verified against the primary text 2026-08-05 — see the Paper 2 reference README. Validity conclusion is scoped to SHORT-TERM antidepressant effects.)</w:t>
      </w:r>
    </w:p>
    <w:p>
      <w:pPr>
        <w:numPr>
          <w:ilvl w:val="0"/>
          <w:numId w:val="1021"/>
        </w:numPr>
        <w:pStyle w:val="Compact"/>
      </w:pPr>
      <w:r>
        <w:t xml:space="preserve">Widding-Havneraas T, et al. Preference-based IV methods rely on underreported assumptions.</w:t>
      </w:r>
      <w:r>
        <w:t xml:space="preserve"> </w:t>
      </w:r>
      <w:r>
        <w:rPr>
          <w:iCs/>
          <w:i/>
        </w:rPr>
        <w:t xml:space="preserve">J Clin Epidemiol</w:t>
      </w:r>
      <w:r>
        <w:t xml:space="preserve"> </w:t>
      </w:r>
      <w:r>
        <w:t xml:space="preserve">2021.</w:t>
      </w:r>
    </w:p>
    <w:p>
      <w:pPr>
        <w:numPr>
          <w:ilvl w:val="0"/>
          <w:numId w:val="1021"/>
        </w:numPr>
        <w:pStyle w:val="Compact"/>
      </w:pPr>
      <w:r>
        <w:t xml:space="preserve">VanderWeele TJ, Ding P. Sensitivity analysis in observational research: the E-value.</w:t>
      </w:r>
      <w:r>
        <w:t xml:space="preserve"> </w:t>
      </w:r>
      <w:r>
        <w:rPr>
          <w:iCs/>
          <w:i/>
        </w:rPr>
        <w:t xml:space="preserve">Ann Intern Med</w:t>
      </w:r>
      <w:r>
        <w:t xml:space="preserve"> </w:t>
      </w:r>
      <w:r>
        <w:t xml:space="preserve">2017;167(4):268–274.</w:t>
      </w:r>
    </w:p>
    <w:p>
      <w:pPr>
        <w:numPr>
          <w:ilvl w:val="0"/>
          <w:numId w:val="1021"/>
        </w:numPr>
        <w:pStyle w:val="Compact"/>
      </w:pPr>
      <w:r>
        <w:t xml:space="preserve">Lipsitch M, Tchetgen Tchetgen E, Cohen T. Negative controls: a tool for detecting confounding.</w:t>
      </w:r>
      <w:r>
        <w:t xml:space="preserve"> </w:t>
      </w:r>
      <w:r>
        <w:rPr>
          <w:iCs/>
          <w:i/>
        </w:rPr>
        <w:t xml:space="preserve">Epidemiology</w:t>
      </w:r>
      <w:r>
        <w:t xml:space="preserve"> </w:t>
      </w:r>
      <w:r>
        <w:t xml:space="preserve">2010;21(3):383–388.</w:t>
      </w:r>
    </w:p>
    <w:p>
      <w:pPr>
        <w:numPr>
          <w:ilvl w:val="0"/>
          <w:numId w:val="1021"/>
        </w:numPr>
        <w:pStyle w:val="Compact"/>
      </w:pPr>
      <w:r>
        <w:t xml:space="preserve">Bilu Y, et al. Data-driven versus standard-practice policies for personalized antidepressant treatment.</w:t>
      </w:r>
      <w:r>
        <w:t xml:space="preserve"> </w:t>
      </w:r>
      <w:r>
        <w:rPr>
          <w:iCs/>
          <w:i/>
        </w:rPr>
        <w:t xml:space="preserve">BMC Psychiatry</w:t>
      </w:r>
      <w:r>
        <w:t xml:space="preserve"> </w:t>
      </w:r>
      <w:r>
        <w:t xml:space="preserve">2026;26:119.</w:t>
      </w:r>
    </w:p>
    <w:p>
      <w:pPr>
        <w:numPr>
          <w:ilvl w:val="0"/>
          <w:numId w:val="1021"/>
        </w:numPr>
        <w:pStyle w:val="Compact"/>
      </w:pPr>
      <w:r>
        <w:t xml:space="preserve">Sheu Y-H, Magdamo C, Miller M, Das S, Blacker D, Smoller JW. AI-assisted prediction of differential response to antidepressant classes using EHR.</w:t>
      </w:r>
      <w:r>
        <w:t xml:space="preserve"> </w:t>
      </w:r>
      <w:r>
        <w:rPr>
          <w:iCs/>
          <w:i/>
        </w:rPr>
        <w:t xml:space="preserve">npj Digit Med</w:t>
      </w:r>
      <w:r>
        <w:t xml:space="preserve"> </w:t>
      </w:r>
      <w:r>
        <w:t xml:space="preserve">2023;6:73.</w:t>
      </w:r>
    </w:p>
    <w:p>
      <w:pPr>
        <w:numPr>
          <w:ilvl w:val="0"/>
          <w:numId w:val="1021"/>
        </w:numPr>
        <w:pStyle w:val="Compact"/>
      </w:pPr>
      <w:r>
        <w:t xml:space="preserve">Puac-Polanco V, Kessler RC, et al. Developing an individualized treatment rule for Veterans with MDD using EHR.</w:t>
      </w:r>
      <w:r>
        <w:t xml:space="preserve"> </w:t>
      </w:r>
      <w:r>
        <w:rPr>
          <w:iCs/>
          <w:i/>
        </w:rPr>
        <w:t xml:space="preserve">Mol Psychiatry</w:t>
      </w:r>
      <w:r>
        <w:t xml:space="preserve"> </w:t>
      </w:r>
      <w:r>
        <w:t xml:space="preserve">2024;29:2335–2345.</w:t>
      </w:r>
      <w:r>
        <w:t xml:space="preserve"> </w:t>
      </w:r>
      <w:r>
        <w:rPr>
          <w:iCs/>
          <w:i/>
        </w:rPr>
        <w:t xml:space="preserve">(read PDF before quoting effect size)</w:t>
      </w:r>
    </w:p>
    <w:p>
      <w:pPr>
        <w:numPr>
          <w:ilvl w:val="0"/>
          <w:numId w:val="1021"/>
        </w:numPr>
        <w:pStyle w:val="Compact"/>
      </w:pPr>
      <w:r>
        <w:t xml:space="preserve">Wu C-S, et al. Validation of ML-based individualized treatment for depressive disorder using target trial emulation.</w:t>
      </w:r>
      <w:r>
        <w:t xml:space="preserve"> </w:t>
      </w:r>
      <w:r>
        <w:rPr>
          <w:iCs/>
          <w:i/>
        </w:rPr>
        <w:t xml:space="preserve">J Pers Med</w:t>
      </w:r>
      <w:r>
        <w:t xml:space="preserve"> </w:t>
      </w:r>
      <w:r>
        <w:t xml:space="preserve">2021;11(12):1316.</w:t>
      </w:r>
    </w:p>
    <w:p>
      <w:pPr>
        <w:numPr>
          <w:ilvl w:val="0"/>
          <w:numId w:val="1021"/>
        </w:numPr>
        <w:pStyle w:val="Compact"/>
      </w:pPr>
      <w:r>
        <w:t xml:space="preserve">Hughes MC, Pradier MF, Ross AS, McCoy TH, Perlis RH, Doshi-Velez F. Assessment of a prediction model for antidepressant treatment stability using supervised topic models.</w:t>
      </w:r>
      <w:r>
        <w:t xml:space="preserve"> </w:t>
      </w:r>
      <w:r>
        <w:rPr>
          <w:iCs/>
          <w:i/>
        </w:rPr>
        <w:t xml:space="preserve">JAMA Netw Open</w:t>
      </w:r>
      <w:r>
        <w:t xml:space="preserve"> </w:t>
      </w:r>
      <w:r>
        <w:t xml:space="preserve">2020;3(5):e205308.</w:t>
      </w:r>
    </w:p>
    <w:p>
      <w:pPr>
        <w:numPr>
          <w:ilvl w:val="0"/>
          <w:numId w:val="1021"/>
        </w:numPr>
        <w:pStyle w:val="Compact"/>
      </w:pPr>
      <w:r>
        <w:t xml:space="preserve">Chekroud AM, et al. Cross-trial prediction of treatment outcome in depression: a machine learning approach.</w:t>
      </w:r>
      <w:r>
        <w:t xml:space="preserve"> </w:t>
      </w:r>
      <w:r>
        <w:rPr>
          <w:iCs/>
          <w:i/>
        </w:rPr>
        <w:t xml:space="preserve">Lancet Psychiatry</w:t>
      </w:r>
      <w:r>
        <w:t xml:space="preserve"> </w:t>
      </w:r>
      <w:r>
        <w:t xml:space="preserve">2016;3(3):243–250.</w:t>
      </w:r>
    </w:p>
    <w:p>
      <w:pPr>
        <w:numPr>
          <w:ilvl w:val="0"/>
          <w:numId w:val="1021"/>
        </w:numPr>
        <w:pStyle w:val="Compact"/>
      </w:pPr>
      <w:r>
        <w:t xml:space="preserve">Chekroud AM, et al. The promise of machine learning in predicting treatment outcomes in psychiatry.</w:t>
      </w:r>
      <w:r>
        <w:t xml:space="preserve"> </w:t>
      </w:r>
      <w:r>
        <w:rPr>
          <w:iCs/>
          <w:i/>
        </w:rPr>
        <w:t xml:space="preserve">World Psychiatry</w:t>
      </w:r>
      <w:r>
        <w:t xml:space="preserve"> </w:t>
      </w:r>
      <w:r>
        <w:t xml:space="preserve">2021;20(2):154–170.</w:t>
      </w:r>
    </w:p>
    <w:p>
      <w:pPr>
        <w:numPr>
          <w:ilvl w:val="0"/>
          <w:numId w:val="1021"/>
        </w:numPr>
        <w:pStyle w:val="Compact"/>
      </w:pPr>
      <w:r>
        <w:t xml:space="preserve">Nunez J-J, et al. Replication of ML methods to predict treatment outcome with antidepressants (STAR*D, CAN-BIND-1).</w:t>
      </w:r>
      <w:r>
        <w:t xml:space="preserve"> </w:t>
      </w:r>
      <w:r>
        <w:rPr>
          <w:iCs/>
          <w:i/>
        </w:rPr>
        <w:t xml:space="preserve">PLoS One</w:t>
      </w:r>
      <w:r>
        <w:t xml:space="preserve"> </w:t>
      </w:r>
      <w:r>
        <w:t xml:space="preserve">2021;16(6):e0253023.</w:t>
      </w:r>
    </w:p>
    <w:p>
      <w:pPr>
        <w:numPr>
          <w:ilvl w:val="0"/>
          <w:numId w:val="1021"/>
        </w:numPr>
        <w:pStyle w:val="Compact"/>
      </w:pPr>
      <w:r>
        <w:t xml:space="preserve">Perlis RH. Application of GPT-4 to select next-step antidepressant treatment in MDD.</w:t>
      </w:r>
      <w:r>
        <w:t xml:space="preserve"> </w:t>
      </w:r>
      <w:r>
        <w:rPr>
          <w:iCs/>
          <w:i/>
        </w:rPr>
        <w:t xml:space="preserve">medRxiv</w:t>
      </w:r>
      <w:r>
        <w:t xml:space="preserve"> </w:t>
      </w:r>
      <w:r>
        <w:t xml:space="preserve">2023; PMID 37131648.</w:t>
      </w:r>
    </w:p>
    <w:p>
      <w:pPr>
        <w:numPr>
          <w:ilvl w:val="0"/>
          <w:numId w:val="1021"/>
        </w:numPr>
        <w:pStyle w:val="Compact"/>
      </w:pPr>
      <w:r>
        <w:t xml:space="preserve">Szmulewicz A, Wanis KN, Perlis RH, et al. Emulating a target trial of dynamic treatment strategies for MDD using STAR*D.</w:t>
      </w:r>
      <w:r>
        <w:t xml:space="preserve"> </w:t>
      </w:r>
      <w:r>
        <w:rPr>
          <w:iCs/>
          <w:i/>
        </w:rPr>
        <w:t xml:space="preserve">Biol Psychiatry</w:t>
      </w:r>
      <w:r>
        <w:t xml:space="preserve"> </w:t>
      </w:r>
      <w:r>
        <w:t xml:space="preserve">2023.</w:t>
      </w:r>
    </w:p>
    <w:p>
      <w:pPr>
        <w:pStyle w:val="FirstParagraph"/>
      </w:pPr>
      <w:r>
        <w:rPr>
          <w:iCs/>
          <w:i/>
        </w:rPr>
        <w:t xml:space="preserve">Verification flags carried from the literature scan: the Puac-Polanco effect size is unverified</w:t>
      </w:r>
      <w:r>
        <w:rPr>
          <w:iCs/>
          <w:i/>
        </w:rPr>
        <w:t xml:space="preserve"> </w:t>
      </w:r>
      <w:r>
        <w:rPr>
          <w:iCs/>
          <w:i/>
        </w:rPr>
        <w:t xml:space="preserve">(paywalled); Davies 2013 author list, pages, and DOI are now CONFIRMED from the PDF (the previously</w:t>
      </w:r>
      <w:r>
        <w:rPr>
          <w:iCs/>
          <w:i/>
        </w:rPr>
        <w:t xml:space="preserve"> </w:t>
      </w:r>
      <w:r>
        <w:rPr>
          <w:iCs/>
          <w:i/>
        </w:rPr>
        <w:t xml:space="preserve">recorded DOI was wrong); confirm Brookhart 2006 page range before final formatting; no LLM-embedding patient-similarity next-antidepressant recommender was found (treat</w:t>
      </w:r>
      <w:r>
        <w:rPr>
          <w:iCs/>
          <w:i/>
        </w:rPr>
        <w:t xml:space="preserve"> </w:t>
      </w:r>
      <w:r>
        <w:rPr>
          <w:iCs/>
          <w:i/>
        </w:rPr>
        <w:t xml:space="preserve">as an open gap, not a proven absence).</w:t>
      </w:r>
    </w:p>
    <w:bookmarkEnd w:id="35"/>
    <w:bookmarkEnd w:id="3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531">
    <w:nsid w:val="47261bad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2026-09-08T19:38:36Z</dcterms:created>
  <dcterms:modified xsi:type="dcterms:W3CDTF">2026-09-08T19:38:36Z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