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6453b5749581e1052aa8b710c40f611130e850"/>
    <w:p>
      <w:pPr>
        <w:pStyle w:val="Heading1"/>
      </w:pPr>
      <w:r>
        <w:t xml:space="preserve">Multimedia Appendix 1. FEATURE predictor inventory</w:t>
      </w:r>
    </w:p>
    <w:p>
      <w:pPr>
        <w:pStyle w:val="FirstParagraph"/>
      </w:pPr>
      <w:r>
        <w:t xml:space="preserve">The FEATURE representation comprises 59 source fields (the</w:t>
      </w:r>
      <w:r>
        <w:t xml:space="preserve"> </w:t>
      </w:r>
      <w:r>
        <w:t xml:space="preserve">three within-patient mean vital signs having been dropped at load time;</w:t>
      </w:r>
      <w:r>
        <w:t xml:space="preserve"> </w:t>
      </w:r>
      <w:r>
        <w:t xml:space="preserve">see</w:t>
      </w:r>
      <w:r>
        <w:t xml:space="preserve"> </w:t>
      </w:r>
      <w:r>
        <w:rPr>
          <w:iCs/>
          <w:i/>
        </w:rPr>
        <w:t xml:space="preserve">Missing data and sample partition</w:t>
      </w:r>
      <w:r>
        <w:t xml:space="preserve">). Quantitative and boolean fields</w:t>
      </w:r>
      <w:r>
        <w:t xml:space="preserve"> </w:t>
      </w:r>
      <w:r>
        <w:t xml:space="preserve">map one-to-one to model columns. The eight categorical fields are one-hot</w:t>
      </w:r>
      <w:r>
        <w:t xml:space="preserve"> </w:t>
      </w:r>
      <w:r>
        <w:t xml:space="preserve">encoded (</w:t>
      </w:r>
      <w:r>
        <w:rPr>
          <w:rStyle w:val="VerbatimChar"/>
        </w:rPr>
        <w:t xml:space="preserve">drop='if_binary'</w:t>
      </w:r>
      <w:r>
        <w:t xml:space="preserve"> </w:t>
      </w:r>
      <w:r>
        <w:t xml:space="preserve">for the single binary field, all levels</w:t>
      </w:r>
      <w:r>
        <w:t xml:space="preserve"> </w:t>
      </w:r>
      <w:r>
        <w:t xml:space="preserve">retained otherwise), and five of them carry an additional automatic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 </w:t>
      </w:r>
      <w:r>
        <w:t xml:space="preserve">level for patients with no recorded value. The resulting design</w:t>
      </w:r>
      <w:r>
        <w:t xml:space="preserve"> </w:t>
      </w:r>
      <w:r>
        <w:t xml:space="preserve">matrix has 92 columns (15 quantitative + 36 boolean + 41 one-hot levels).</w:t>
      </w:r>
      <w:r>
        <w:t xml:space="preserve"> </w:t>
      </w:r>
      <w:r>
        <w:t xml:space="preserve">Display names are those used in the feature-importance figures.</w:t>
      </w:r>
    </w:p>
    <w:p>
      <w:pPr>
        <w:pStyle w:val="BodyText"/>
      </w:pPr>
      <w:r>
        <w:rPr>
          <w:bCs/>
          <w:b/>
          <w:iCs/>
          <w:i/>
        </w:rPr>
        <w:t xml:space="preserve">Table A1.</w:t>
      </w:r>
      <w:r>
        <w:rPr>
          <w:iCs/>
          <w:i/>
        </w:rPr>
        <w:t xml:space="preserve"> </w:t>
      </w:r>
      <w:r>
        <w:rPr>
          <w:iCs/>
          <w:i/>
        </w:rPr>
        <w:t xml:space="preserve">Quantitative predictors (15; continuous, standardized).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Predictor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history before index (days)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History length (days)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Encounter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 visits (count)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Inpatient days before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(years)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Medications active at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Anti-inflammatories active at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Sleep meds active at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Anxiolytic days before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Bupropion trials (6+ wk)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Mirtazapine trials (6+ wk)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SNRI trials (6+ wk)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SSRI trials (6+ wk)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Vortioxetine trials (6+ wk)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Table A2.</w:t>
      </w:r>
      <w:r>
        <w:rPr>
          <w:iCs/>
          <w:i/>
        </w:rPr>
        <w:t xml:space="preserve"> </w:t>
      </w:r>
      <w:r>
        <w:rPr>
          <w:iCs/>
          <w:i/>
        </w:rPr>
        <w:t xml:space="preserve">Boolean predictors (36; cast to 0/1), grouped by block.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Predictors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flags (3)</w:t>
            </w:r>
          </w:p>
        </w:tc>
        <w:tc>
          <w:p>
            <w:pPr>
              <w:pStyle w:val="Compact"/>
              <w:jc w:val="left"/>
            </w:pPr>
            <w:r>
              <w:t xml:space="preserve">MDD in history; Suicidality; Augmentation therapy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Psychiatric comorbidities (8)</w:t>
            </w:r>
          </w:p>
        </w:tc>
        <w:tc>
          <w:p>
            <w:pPr>
              <w:pStyle w:val="Compact"/>
              <w:jc w:val="left"/>
            </w:pPr>
            <w:r>
              <w:t xml:space="preserve">Adjustment disorder; Anxiety disorder; Dysthymia (chronic depression); Insomnia; OCD; PTSD; Social anxiety disorder; Substance use disorder (any)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Medical comorbidities (4)</w:t>
            </w:r>
          </w:p>
        </w:tc>
        <w:tc>
          <w:p>
            <w:pPr>
              <w:pStyle w:val="Compact"/>
              <w:jc w:val="left"/>
            </w:pPr>
            <w:r>
              <w:t xml:space="preserve">Chronic pain; Diabetes; High cholesterol; Thyroid disorder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Prescribing-constraint / safety (2)</w:t>
            </w:r>
          </w:p>
        </w:tc>
        <w:tc>
          <w:p>
            <w:pPr>
              <w:pStyle w:val="Compact"/>
              <w:jc w:val="left"/>
            </w:pPr>
            <w:r>
              <w:t xml:space="preserve">Seizure disorder; Uncontrolled hypertension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Substance use disorders (10)</w:t>
            </w:r>
          </w:p>
        </w:tc>
        <w:tc>
          <w:p>
            <w:pPr>
              <w:pStyle w:val="Compact"/>
              <w:jc w:val="left"/>
            </w:pPr>
            <w:r>
              <w:t xml:space="preserve">Alcohol; Cannabis; Cocaine; Hallucinogen; Inhalant; Nicotine; Opioid; Other stimulant; Other substance; Sedative/hypnotic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determinants of health (9)</w:t>
            </w:r>
          </w:p>
        </w:tc>
        <w:tc>
          <w:p>
            <w:pPr>
              <w:pStyle w:val="Compact"/>
              <w:jc w:val="left"/>
            </w:pPr>
            <w:r>
              <w:t xml:space="preserve">Education or literacy issue; Employment issue; Housing or financial issue; Legal or criminal issue; Occupational hazard exposure; Family/support group issue; Psychosocial circumstances; Social environment issue; Upbringing issue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Table A3.</w:t>
      </w:r>
      <w:r>
        <w:rPr>
          <w:iCs/>
          <w:i/>
        </w:rPr>
        <w:t xml:space="preserve"> </w:t>
      </w:r>
      <w:r>
        <w:rPr>
          <w:iCs/>
          <w:i/>
        </w:rPr>
        <w:t xml:space="preserve">Categorical predictors (8 fields → 41 one-hot columns).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Missing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indicates an automatic one-hot level for unrecorded values.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center"/>
            </w:pPr>
            <w:r>
              <w:t xml:space="preserve">One-hot columns</w:t>
            </w:r>
          </w:p>
        </w:tc>
        <w:tc>
          <w:p>
            <w:pPr>
              <w:pStyle w:val="Compact"/>
              <w:jc w:val="left"/>
            </w:pPr>
            <w:r>
              <w:t xml:space="preserve">Levels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Male (Female = reference, dropped)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Preferred language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Asian/Pacific Islander; English; Other; Other Indo-European; Spanish;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Marital status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Divorced; Never married; Married; Separated; Widowed;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Catholic; Non-Christian; Orthodox; Other/Unknown; Protestant;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Smoking status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Current; Former; Never;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Race/ethnicity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American Indian/Alaska Native; Asian; Black/African American; Hispanic/Latino; Multi-race; Native Hawaiian/Pacific Islander; White/Caucasian;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recurrence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Unspecified; Single episode; Recurrent; Dysthymia (chronic depression)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 severity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Unspecified; Mild; Moderate; Severe; Psychotic; Remission</w:t>
            </w:r>
          </w:p>
        </w:tc>
      </w:tr>
    </w:tbl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2026-09-08T19:38:30Z</dcterms:created>
  <dcterms:modified xsi:type="dcterms:W3CDTF">2026-09-08T19:38:30Z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