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f32733a0ca364ba6733e94765a8757233bcfa5a"/>
    <w:p>
      <w:pPr>
        <w:pStyle w:val="Heading1"/>
      </w:pPr>
      <w:r>
        <w:t xml:space="preserve">Supplement M2. Eligibility cascade, index selection, and temporal design</w:t>
      </w:r>
    </w:p>
    <w:p>
      <w:pPr>
        <w:pStyle w:val="FirstParagraph"/>
      </w:pPr>
      <w:r>
        <w:t xml:space="preserve">Eligibility was applied hierarchically from the full delivered extract.</w:t>
      </w:r>
      <w:r>
        <w:t xml:space="preserve"> </w:t>
      </w:r>
      <w:r>
        <w:t xml:space="preserve">Patients were required to have all six of the following. 1. A qualifying MDD</w:t>
      </w:r>
      <w:r>
        <w:t xml:space="preserve"> </w:t>
      </w:r>
      <w:r>
        <w:t xml:space="preserve">diagnosis. 2. No bipolar-disorder diagnosis and no schizophrenia-spectrum</w:t>
      </w:r>
      <w:r>
        <w:t xml:space="preserve"> </w:t>
      </w:r>
      <w:r>
        <w:t xml:space="preserve">diagnosis, so that the cohort is unipolar depression. 3. An eligible</w:t>
      </w:r>
      <w:r>
        <w:t xml:space="preserve"> </w:t>
      </w:r>
      <w:r>
        <w:t xml:space="preserve">antidepressant index prescription. 4. An MDD diagnosis recorded on or before</w:t>
      </w:r>
      <w:r>
        <w:t xml:space="preserve"> </w:t>
      </w:r>
      <w:r>
        <w:t xml:space="preserve">the index date. 5. At least 730 days of pre-index history. 6. At least 365 days</w:t>
      </w:r>
      <w:r>
        <w:t xml:space="preserve"> </w:t>
      </w:r>
      <w:r>
        <w:t xml:space="preserve">of post-index follow-up. Patients failing the chronological or observation</w:t>
      </w:r>
      <w:r>
        <w:t xml:space="preserve"> </w:t>
      </w:r>
      <w:r>
        <w:t xml:space="preserve">prerequisites were assigned explicit rejection reasons for attrition</w:t>
      </w:r>
      <w:r>
        <w:t xml:space="preserve"> </w:t>
      </w:r>
      <w:r>
        <w:t xml:space="preserve">accounting.</w:t>
      </w:r>
    </w:p>
    <w:p>
      <w:pPr>
        <w:pStyle w:val="BodyText"/>
      </w:pPr>
      <w:r>
        <w:rPr>
          <w:bCs/>
          <w:b/>
          <w:iCs/>
          <w:i/>
        </w:rPr>
        <w:t xml:space="preserve">Table M1.</w:t>
      </w:r>
      <w:r>
        <w:rPr>
          <w:iCs/>
          <w:i/>
        </w:rPr>
        <w:t xml:space="preserve"> </w:t>
      </w:r>
      <w:r>
        <w:rPr>
          <w:iCs/>
          <w:i/>
        </w:rPr>
        <w:t xml:space="preserve">Participant flow through the hierarchical eligibility filters.</w:t>
      </w:r>
      <w:r>
        <w:rPr>
          <w:iCs/>
          <w:i/>
        </w:rPr>
        <w:t xml:space="preserve"> </w:t>
      </w:r>
      <w:r>
        <w:rPr>
          <w:iCs/>
          <w:i/>
        </w:rPr>
        <w:t xml:space="preserve">Each row applies one additional filter to the survivors of the row above. The</w:t>
      </w:r>
      <w:r>
        <w:rPr>
          <w:iCs/>
          <w:i/>
        </w:rPr>
        <w:t xml:space="preserve"> </w:t>
      </w:r>
      <w:r>
        <w:rPr>
          <w:iCs/>
          <w:i/>
        </w:rPr>
        <w:t xml:space="preserve">first row is the delivered extract, a case-enriched sample by design</w:t>
      </w:r>
      <w:r>
        <w:rPr>
          <w:iCs/>
          <w:i/>
        </w:rPr>
        <w:t xml:space="preserve"> </w:t>
      </w:r>
      <w:r>
        <w:rPr>
          <w:iCs/>
          <w:i/>
        </w:rPr>
        <w:t xml:space="preserve">(Supplement M1).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p>
            <w:pPr>
              <w:pStyle w:val="Compact"/>
              <w:jc w:val="right"/>
            </w:pPr>
            <w:r>
              <w:t xml:space="preserve">Remaining</w:t>
            </w:r>
          </w:p>
        </w:tc>
        <w:tc>
          <w:p>
            <w:pPr>
              <w:pStyle w:val="Compact"/>
              <w:jc w:val="right"/>
            </w:pPr>
            <w:r>
              <w:t xml:space="preserve">Rejected at stage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Delivered extract (4:1 case-enriched)</w:t>
            </w:r>
          </w:p>
        </w:tc>
        <w:tc>
          <w:p>
            <w:pPr>
              <w:pStyle w:val="Compact"/>
              <w:jc w:val="right"/>
            </w:pPr>
            <w:r>
              <w:t xml:space="preserve">501,718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MDD-diagnosed</w:t>
            </w:r>
          </w:p>
        </w:tc>
        <w:tc>
          <w:p>
            <w:pPr>
              <w:pStyle w:val="Compact"/>
              <w:jc w:val="right"/>
            </w:pPr>
            <w:r>
              <w:t xml:space="preserve">144,110</w:t>
            </w:r>
          </w:p>
        </w:tc>
        <w:tc>
          <w:p>
            <w:pPr>
              <w:pStyle w:val="Compact"/>
              <w:jc w:val="right"/>
            </w:pPr>
            <w:r>
              <w:t xml:space="preserve">357,608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 bipolar AND not schizophrenia-spectrum</w:t>
            </w:r>
          </w:p>
        </w:tc>
        <w:tc>
          <w:p>
            <w:pPr>
              <w:pStyle w:val="Compact"/>
              <w:jc w:val="right"/>
            </w:pPr>
            <w:r>
              <w:t xml:space="preserve">124,188</w:t>
            </w:r>
          </w:p>
        </w:tc>
        <w:tc>
          <w:p>
            <w:pPr>
              <w:pStyle w:val="Compact"/>
              <w:jc w:val="right"/>
            </w:pPr>
            <w:r>
              <w:t xml:space="preserve">19,922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Has antidepressant index prescription</w:t>
            </w:r>
          </w:p>
        </w:tc>
        <w:tc>
          <w:p>
            <w:pPr>
              <w:pStyle w:val="Compact"/>
              <w:jc w:val="right"/>
            </w:pPr>
            <w:r>
              <w:t xml:space="preserve">107,636</w:t>
            </w:r>
          </w:p>
        </w:tc>
        <w:tc>
          <w:p>
            <w:pPr>
              <w:pStyle w:val="Compact"/>
              <w:jc w:val="right"/>
            </w:pPr>
            <w:r>
              <w:t xml:space="preserve">16,552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Has MDD before index</w:t>
            </w:r>
          </w:p>
        </w:tc>
        <w:tc>
          <w:p>
            <w:pPr>
              <w:pStyle w:val="Compact"/>
              <w:jc w:val="right"/>
            </w:pPr>
            <w:r>
              <w:t xml:space="preserve">103,458</w:t>
            </w:r>
          </w:p>
        </w:tc>
        <w:tc>
          <w:p>
            <w:pPr>
              <w:pStyle w:val="Compact"/>
              <w:jc w:val="right"/>
            </w:pPr>
            <w:r>
              <w:t xml:space="preserve">4,178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≥2 years pre-index history</w:t>
            </w:r>
          </w:p>
        </w:tc>
        <w:tc>
          <w:p>
            <w:pPr>
              <w:pStyle w:val="Compact"/>
              <w:jc w:val="right"/>
            </w:pPr>
            <w:r>
              <w:t xml:space="preserve">54,215</w:t>
            </w:r>
          </w:p>
        </w:tc>
        <w:tc>
          <w:p>
            <w:pPr>
              <w:pStyle w:val="Compact"/>
              <w:jc w:val="right"/>
            </w:pPr>
            <w:r>
              <w:t xml:space="preserve">49,243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≥1 year post-index follow-up (final cohort)</w:t>
            </w:r>
          </w:p>
        </w:tc>
        <w:tc>
          <w:p>
            <w:pPr>
              <w:pStyle w:val="Compact"/>
              <w:jc w:val="right"/>
            </w:pPr>
            <w:r>
              <w:t xml:space="preserve">42,579</w:t>
            </w:r>
          </w:p>
        </w:tc>
        <w:tc>
          <w:p>
            <w:pPr>
              <w:pStyle w:val="Compact"/>
              <w:jc w:val="right"/>
            </w:pPr>
            <w:r>
              <w:t xml:space="preserve">11,636</w:t>
            </w:r>
          </w:p>
        </w:tc>
      </w:tr>
    </w:tbl>
    <w:p>
      <w:pPr>
        <w:pStyle w:val="BodyText"/>
      </w:pPr>
      <w:r>
        <w:t xml:space="preserve">Upstream data preparation assembled, for each patient, all antidepressant</w:t>
      </w:r>
      <w:r>
        <w:t xml:space="preserve"> </w:t>
      </w:r>
      <w:r>
        <w:t xml:space="preserve">medication orders beginning on or after the date of the first documented</w:t>
      </w:r>
      <w:r>
        <w:t xml:space="preserve"> </w:t>
      </w:r>
      <w:r>
        <w:t xml:space="preserve">depression diagnosis. The earliest start date in that set defined the index</w:t>
      </w:r>
      <w:r>
        <w:t xml:space="preserve"> </w:t>
      </w:r>
      <w:r>
        <w:t xml:space="preserve">date, one per patient. Among candidate index orders, 57.9% begin on the same</w:t>
      </w:r>
      <w:r>
        <w:t xml:space="preserve"> </w:t>
      </w:r>
      <w:r>
        <w:t xml:space="preserve">date as the first recorded depression diagnosis.</w:t>
      </w:r>
    </w:p>
    <w:p>
      <w:pPr>
        <w:pStyle w:val="BodyText"/>
      </w:pPr>
      <w:r>
        <w:t xml:space="preserve">No post-index property was used to qualify the index exposure. Dose adequacy,</w:t>
      </w:r>
      <w:r>
        <w:t xml:space="preserve"> </w:t>
      </w:r>
      <w:r>
        <w:t xml:space="preserve">exposure duration, subsequent response, and treatment changes were not</w:t>
      </w:r>
      <w:r>
        <w:t xml:space="preserve"> </w:t>
      </w:r>
      <w:r>
        <w:t xml:space="preserve">considered, so the prediction point is the moment the prescription is</w:t>
      </w:r>
      <w:r>
        <w:t xml:space="preserve"> </w:t>
      </w:r>
      <w:r>
        <w:t xml:space="preserve">written. Post-index data entered only through the requirement for at least</w:t>
      </w:r>
      <w:r>
        <w:t xml:space="preserve"> </w:t>
      </w:r>
      <w:r>
        <w:t xml:space="preserve">365 days of follow-up and outcome ascertainment during those 365 days.</w:t>
      </w:r>
      <w:r>
        <w:t xml:space="preserve"> </w:t>
      </w:r>
      <w:r>
        <w:t xml:space="preserve">Predictors used only information within the 730 days ending on the index</w:t>
      </w:r>
      <w:r>
        <w:t xml:space="preserve"> </w:t>
      </w:r>
      <w:r>
        <w:t xml:space="preserve">date. Although recorded history extends further back for many patients</w:t>
      </w:r>
      <w:r>
        <w:t xml:space="preserve"> </w:t>
      </w:r>
      <w:r>
        <w:t xml:space="preserve">(median 1,792 days), clinical content outside the fixed lookback window was</w:t>
      </w:r>
      <w:r>
        <w:t xml:space="preserve"> </w:t>
      </w:r>
      <w:r>
        <w:t xml:space="preserve">not read. Total recorded history length was itself retained as a predictor.</w:t>
      </w:r>
    </w:p>
    <w:p>
      <w:pPr>
        <w:pStyle w:val="BodyText"/>
      </w:pPr>
      <w:r>
        <w:t xml:space="preserve">Antidepressant exposure before the index date did not exclude a patient.</w:t>
      </w:r>
      <w:r>
        <w:t xml:space="preserve"> </w:t>
      </w:r>
      <w:r>
        <w:t xml:space="preserve">The index is tied to the first documented depression diagnosis rather than to</w:t>
      </w:r>
      <w:r>
        <w:t xml:space="preserve"> </w:t>
      </w:r>
      <w:r>
        <w:t xml:space="preserve">the first antidepressant exposure. Consequently 24.0% of the cohort had some</w:t>
      </w:r>
      <w:r>
        <w:t xml:space="preserve"> </w:t>
      </w:r>
      <w:r>
        <w:t xml:space="preserve">recorded pre-index antidepressant exposure, and 14.7% had at least one pre-</w:t>
      </w:r>
      <w:r>
        <w:t xml:space="preserve"> </w:t>
      </w:r>
      <w:r>
        <w:t xml:space="preserve">index course meeting the 42-day threshold used for the adequate-trial</w:t>
      </w:r>
      <w:r>
        <w:t xml:space="preserve"> </w:t>
      </w:r>
      <w:r>
        <w:t xml:space="preserve">predictors. The index is therefore best described as the first antidepressant</w:t>
      </w:r>
      <w:r>
        <w:t xml:space="preserve"> </w:t>
      </w:r>
      <w:r>
        <w:t xml:space="preserve">prescription after a documented depression diagnosis, and not as the first</w:t>
      </w:r>
      <w:r>
        <w:t xml:space="preserve"> </w:t>
      </w:r>
      <w:r>
        <w:t xml:space="preserve">antidepressant treatment or first adequate trial.</w:t>
      </w:r>
    </w:p>
    <w:bookmarkEnd w:id="20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2026-09-08T19:38:30Z</dcterms:created>
  <dcterms:modified xsi:type="dcterms:W3CDTF">2026-09-08T19:38:30Z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