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51fce4ea1521be97875cae82a341d09427ae21"/>
    <w:p>
      <w:pPr>
        <w:pStyle w:val="Heading1"/>
      </w:pPr>
      <w:r>
        <w:t xml:space="preserve">Supplement M5. Deterministic narrative and embedded representation</w:t>
      </w:r>
    </w:p>
    <w:p>
      <w:pPr>
        <w:pStyle w:val="FirstParagraph"/>
      </w:pPr>
      <w:r>
        <w:t xml:space="preserve">The same pre-index record was rendered deterministically into a human-readable</w:t>
      </w:r>
      <w:r>
        <w:t xml:space="preserve"> </w:t>
      </w:r>
      <w:r>
        <w:t xml:space="preserve">Markdown narrative, and two examples are reproduced in Supplement S4.</w:t>
      </w:r>
      <w:r>
        <w:t xml:space="preserve"> </w:t>
      </w:r>
      <w:r>
        <w:t xml:space="preserve">Rendering is rule-driven and reproducible: no generative language model</w:t>
      </w:r>
      <w:r>
        <w:t xml:space="preserve"> </w:t>
      </w:r>
      <w:r>
        <w:t xml:space="preserve">participates in construction. This choice prioritizes traceability over</w:t>
      </w:r>
      <w:r>
        <w:t xml:space="preserve"> </w:t>
      </w:r>
      <w:r>
        <w:t xml:space="preserve">fluency, because an unsupported generated statement would silently alter the</w:t>
      </w:r>
      <w:r>
        <w:t xml:space="preserve"> </w:t>
      </w:r>
      <w:r>
        <w:t xml:space="preserve">patient’s model input [22].</w:t>
      </w:r>
    </w:p>
    <w:p>
      <w:pPr>
        <w:pStyle w:val="BodyText"/>
      </w:pPr>
      <w:r>
        <w:rPr>
          <w:bCs/>
          <w:b/>
        </w:rPr>
        <w:t xml:space="preserve">What the renderer is given, and what it is not.</w:t>
      </w:r>
      <w:r>
        <w:t xml:space="preserve"> </w:t>
      </w:r>
      <w:r>
        <w:t xml:space="preserve">It walks a fixed template</w:t>
      </w:r>
      <w:r>
        <w:t xml:space="preserve"> </w:t>
      </w:r>
      <w:r>
        <w:t xml:space="preserve">of section headings and field labels, in a fixed order, over the field</w:t>
      </w:r>
      <w:r>
        <w:t xml:space="preserve"> </w:t>
      </w:r>
      <w:r>
        <w:t xml:space="preserve">inventory selected in Supplement M4. That is the same inventory the feature</w:t>
      </w:r>
      <w:r>
        <w:t xml:space="preserve"> </w:t>
      </w:r>
      <w:r>
        <w:t xml:space="preserve">vector receives. Absent findings are printed explicitly and unrecorded ones as</w:t>
      </w:r>
      <w:r>
        <w:t xml:space="preserve"> </w:t>
      </w:r>
      <w:r>
        <w:t xml:space="preserve">a literal token, so every patient reaches the encoder through the same constant</w:t>
      </w:r>
      <w:r>
        <w:t xml:space="preserve"> </w:t>
      </w:r>
      <w:r>
        <w:t xml:space="preserve">form and the narrative’s length varies only with how much of that inventory is</w:t>
      </w:r>
      <w:r>
        <w:t xml:space="preserve"> </w:t>
      </w:r>
      <w:r>
        <w:t xml:space="preserve">populated. The renderer never reads the record outside the 730-day lookback</w:t>
      </w:r>
      <w:r>
        <w:t xml:space="preserve"> </w:t>
      </w:r>
      <w:r>
        <w:t xml:space="preserve">window, and it never reads a field that predictor selection did not choose. An</w:t>
      </w:r>
      <w:r>
        <w:t xml:space="preserve"> </w:t>
      </w:r>
      <w:r>
        <w:t xml:space="preserve">untailored encoding of a whole record is therefore a different experiment and</w:t>
      </w:r>
      <w:r>
        <w:t xml:space="preserve"> </w:t>
      </w:r>
      <w:r>
        <w:t xml:space="preserve">not a variant of this one. The main text states why it was not attempted</w:t>
      </w:r>
      <w:r>
        <w:t xml:space="preserve"> </w:t>
      </w:r>
      <w:r>
        <w:t xml:space="preserve">(Methods,</w:t>
      </w:r>
      <w:r>
        <w:t xml:space="preserve"> </w:t>
      </w:r>
      <w:r>
        <w:rPr>
          <w:iCs/>
          <w:i/>
        </w:rPr>
        <w:t xml:space="preserve">Predictors and patient representations</w:t>
      </w:r>
      <w:r>
        <w:t xml:space="preserve">).</w:t>
      </w:r>
    </w:p>
    <w:p>
      <w:pPr>
        <w:pStyle w:val="BodyText"/>
      </w:pPr>
      <w:r>
        <w:t xml:space="preserve">Each narrative was mapped to a fixed-length vector with a pretrained</w:t>
      </w:r>
      <w:r>
        <w:t xml:space="preserve"> </w:t>
      </w:r>
      <w:r>
        <w:t xml:space="preserve">sentence-transformer encoder [28]. The four independently evaluated encoders</w:t>
      </w:r>
      <w:r>
        <w:t xml:space="preserve"> </w:t>
      </w:r>
      <w:r>
        <w:t xml:space="preserve">were</w:t>
      </w:r>
      <w:r>
        <w:t xml:space="preserve"> </w:t>
      </w:r>
      <w:r>
        <w:rPr>
          <w:rStyle w:val="VerbatimChar"/>
        </w:rPr>
        <w:t xml:space="preserve">bge-small-en-v1.5</w:t>
      </w:r>
      <w:r>
        <w:t xml:space="preserve"> </w:t>
      </w:r>
      <w:r>
        <w:t xml:space="preserve">[23],</w:t>
      </w:r>
      <w:r>
        <w:t xml:space="preserve"> </w:t>
      </w:r>
      <w:r>
        <w:rPr>
          <w:rStyle w:val="VerbatimChar"/>
        </w:rPr>
        <w:t xml:space="preserve">bge-en-icl</w:t>
      </w:r>
      <w:r>
        <w:t xml:space="preserve"> </w:t>
      </w:r>
      <w:r>
        <w:t xml:space="preserve">[24],</w:t>
      </w:r>
      <w:r>
        <w:t xml:space="preserve"> </w:t>
      </w:r>
      <w:r>
        <w:rPr>
          <w:rStyle w:val="VerbatimChar"/>
        </w:rPr>
        <w:t xml:space="preserve">Qwen3-Embedding-4B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[25]. This serialization-and-encoding strategy follows</w:t>
      </w:r>
      <w:r>
        <w:t xml:space="preserve"> </w:t>
      </w:r>
      <w:r>
        <w:t xml:space="preserve">evidence that general-purpose language-model embeddings of serialized EHR</w:t>
      </w:r>
      <w:r>
        <w:t xml:space="preserve"> </w:t>
      </w:r>
      <w:r>
        <w:t xml:space="preserve">records can perform competitively with purpose-built EHR foundation models</w:t>
      </w:r>
      <w:r>
        <w:t xml:space="preserve"> </w:t>
      </w:r>
      <w:r>
        <w:t xml:space="preserve">across prediction tasks [15].</w:t>
      </w:r>
    </w:p>
    <w:p>
      <w:pPr>
        <w:pStyle w:val="BodyText"/>
      </w:pPr>
      <w:r>
        <w:t xml:space="preserve">FEATURE and EMBEDDED use the same timeline-sliced source record but not an</w:t>
      </w:r>
      <w:r>
        <w:t xml:space="preserve"> </w:t>
      </w:r>
      <w:r>
        <w:t xml:space="preserve">identical set of rendered fields. The field-level crosswalk in Supplement S8</w:t>
      </w:r>
      <w:r>
        <w:t xml:space="preserve"> </w:t>
      </w:r>
      <w:r>
        <w:t xml:space="preserve">gives, for every source field, its FEATURE encoding, narrative rendering,</w:t>
      </w:r>
      <w:r>
        <w:t xml:space="preserve"> </w:t>
      </w:r>
      <w:r>
        <w:t xml:space="preserve">missing-value rule, and temporal availability. Because the field inventories</w:t>
      </w:r>
      <w:r>
        <w:t xml:space="preserve"> </w:t>
      </w:r>
      <w:r>
        <w:t xml:space="preserve">differ, the comparison is between complete representation pipelines and is</w:t>
      </w:r>
      <w:r>
        <w:t xml:space="preserve"> </w:t>
      </w:r>
      <w:r>
        <w:t xml:space="preserve">not a controlled comparison of numeric versus language encoding of identical</w:t>
      </w:r>
      <w:r>
        <w:t xml:space="preserve"> </w:t>
      </w:r>
      <w:r>
        <w:t xml:space="preserve">information.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2026-09-08T19:38:30Z</dcterms:created>
  <dcterms:modified xsi:type="dcterms:W3CDTF">2026-09-08T19:38:30Z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