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2923e9ff6f6c79dc534ed1c4d1540b160983a1"/>
    <w:p>
      <w:pPr>
        <w:pStyle w:val="Heading1"/>
      </w:pPr>
      <w:r>
        <w:t xml:space="preserve">Supplement M8. Train/test split, comparability, and leakage safeguards</w:t>
      </w:r>
    </w:p>
    <w:p>
      <w:pPr>
        <w:pStyle w:val="FirstParagraph"/>
      </w:pPr>
      <w:r>
        <w:t xml:space="preserve">One stratified 80:20 train/test split was generated once and reused for all</w:t>
      </w:r>
      <w:r>
        <w:t xml:space="preserve"> </w:t>
      </w:r>
      <w:r>
        <w:t xml:space="preserve">models, representations, encoders, and ablations. The training set includes</w:t>
      </w:r>
      <w:r>
        <w:t xml:space="preserve"> </w:t>
      </w:r>
      <w:r>
        <w:t xml:space="preserve">34,063 patients (5,964 TRD-positive, 17.5%) and the test set 8,516 (1,491</w:t>
      </w:r>
      <w:r>
        <w:t xml:space="preserve"> </w:t>
      </w:r>
      <w:r>
        <w:t xml:space="preserve">TRD-positive, 17.5%). Standardized mean differences were calculated for every</w:t>
      </w:r>
      <w:r>
        <w:t xml:space="preserve"> </w:t>
      </w:r>
      <w:r>
        <w:t xml:space="preserve">predictor as the train-minus-test mean difference divided by the pooled</w:t>
      </w:r>
      <w:r>
        <w:t xml:space="preserve"> </w:t>
      </w:r>
      <w:r>
        <w:t xml:space="preserve">standard deviation. Across 100 predictor rows the largest absolute SMD is</w:t>
      </w:r>
      <w:r>
        <w:t xml:space="preserve"> </w:t>
      </w:r>
      <w:r>
        <w:t xml:space="preserve">0.036 and none reaches 0.10, and the distributions themselves are Supplement</w:t>
      </w:r>
      <w:r>
        <w:t xml:space="preserve"> </w:t>
      </w:r>
      <w:r>
        <w:t xml:space="preserve">S6. The largest SMD arises from a rare social-determinant flag present in 22</w:t>
      </w:r>
      <w:r>
        <w:t xml:space="preserve"> </w:t>
      </w:r>
      <w:r>
        <w:t xml:space="preserve">training patients and no test patient. Outcome frequency is matched by</w:t>
      </w:r>
      <w:r>
        <w:t xml:space="preserve"> </w:t>
      </w:r>
      <w:r>
        <w:t xml:space="preserve">stratification rather than by observation.</w:t>
      </w:r>
    </w:p>
    <w:p>
      <w:pPr>
        <w:pStyle w:val="BodyText"/>
      </w:pPr>
      <w:r>
        <w:t xml:space="preserve">All data-dependent preprocessing occurred inside the cross-validation</w:t>
      </w:r>
      <w:r>
        <w:t xml:space="preserve"> </w:t>
      </w:r>
      <w:r>
        <w:t xml:space="preserve">pipeline. On each fold, numeric scaling parameters and categorical levels were</w:t>
      </w:r>
      <w:r>
        <w:t xml:space="preserve"> </w:t>
      </w:r>
      <w:r>
        <w:t xml:space="preserve">learned only from that fold’s training rows and then applied to its validation</w:t>
      </w:r>
      <w:r>
        <w:t xml:space="preserve"> </w:t>
      </w:r>
      <w:r>
        <w:t xml:space="preserve">rows. The final pipeline was fitted on the full training set and evaluated</w:t>
      </w:r>
      <w:r>
        <w:t xml:space="preserve"> </w:t>
      </w:r>
      <w:r>
        <w:t xml:space="preserve">once on the test set.</w:t>
      </w:r>
    </w:p>
    <w:p>
      <w:pPr>
        <w:pStyle w:val="BodyText"/>
      </w:pPr>
      <w:r>
        <w:t xml:space="preserve">In the retrieval analyses all test identifiers were removed from the</w:t>
      </w:r>
      <w:r>
        <w:t xml:space="preserve"> </w:t>
      </w:r>
      <w:r>
        <w:t xml:space="preserve">searchable index. Each test patient was a query anchor, but every neighbor and</w:t>
      </w:r>
      <w:r>
        <w:t xml:space="preserve"> </w:t>
      </w:r>
      <w:r>
        <w:t xml:space="preserve">neighbor outcome came from the training set, which prevents self-retrieval,</w:t>
      </w:r>
      <w:r>
        <w:t xml:space="preserve"> </w:t>
      </w:r>
      <w:r>
        <w:t xml:space="preserve">test-to-test outcome propagation, and any direct use of a test label in</w:t>
      </w:r>
      <w:r>
        <w:t xml:space="preserve"> </w:t>
      </w:r>
      <w:r>
        <w:t xml:space="preserve">prediction. Train/test comparability supports internal evaluation but does not</w:t>
      </w:r>
      <w:r>
        <w:t xml:space="preserve"> </w:t>
      </w:r>
      <w:r>
        <w:t xml:space="preserve">establish transportability, because both partitions inherit the same</w:t>
      </w:r>
      <w:r>
        <w:t xml:space="preserve"> </w:t>
      </w:r>
      <w:r>
        <w:t xml:space="preserve">case-enriched sampling frame.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