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899518288536ac4b5fc86e565d16598b23667b"/>
    <w:p>
      <w:pPr>
        <w:pStyle w:val="Heading1"/>
      </w:pPr>
      <w:r>
        <w:t xml:space="preserve">Supplement M9. Standard machine-learning pipeline</w:t>
      </w:r>
    </w:p>
    <w:p>
      <w:pPr>
        <w:pStyle w:val="FirstParagraph"/>
      </w:pPr>
      <w:r>
        <w:t xml:space="preserve">Four classifiers were fitted to each representation: logistic regression,</w:t>
      </w:r>
      <w:r>
        <w:t xml:space="preserve"> </w:t>
      </w:r>
      <w:r>
        <w:t xml:space="preserve">random forest, gradient boosting, and XGBoost. For FEATURE, the column</w:t>
      </w:r>
      <w:r>
        <w:t xml:space="preserve"> </w:t>
      </w:r>
      <w:r>
        <w:t xml:space="preserve">transformer standardized the numeric block, one-hot encoded categorical</w:t>
      </w:r>
      <w:r>
        <w:t xml:space="preserve"> </w:t>
      </w:r>
      <w:r>
        <w:t xml:space="preserve">variables with binary categories collapsed and unknown inference-time levels</w:t>
      </w:r>
      <w:r>
        <w:t xml:space="preserve"> </w:t>
      </w:r>
      <w:r>
        <w:t xml:space="preserve">ignored, and cast boolean indicators to integer without further</w:t>
      </w:r>
      <w:r>
        <w:t xml:space="preserve"> </w:t>
      </w:r>
      <w:r>
        <w:t xml:space="preserve">transformation. EMBEDDED entered through the numeric branch only.</w:t>
      </w:r>
    </w:p>
    <w:p>
      <w:pPr>
        <w:pStyle w:val="BodyText"/>
      </w:pPr>
      <w:r>
        <w:t xml:space="preserve">Each classifier and its preprocessing transformer were wrapped in a single</w:t>
      </w:r>
      <w:r>
        <w:t xml:space="preserve"> </w:t>
      </w:r>
      <w:r>
        <w:t xml:space="preserve">scikit-learn pipeline. Hyperparameters were selected by five-fold grid search</w:t>
      </w:r>
      <w:r>
        <w:t xml:space="preserve"> </w:t>
      </w:r>
      <w:r>
        <w:t xml:space="preserve">on the training set using ROC AUC as the optimization criterion. The best</w:t>
      </w:r>
      <w:r>
        <w:t xml:space="preserve"> </w:t>
      </w:r>
      <w:r>
        <w:t xml:space="preserve">configuration was refitted on all training patients and generated held-out</w:t>
      </w:r>
      <w:r>
        <w:t xml:space="preserve"> </w:t>
      </w:r>
      <w:r>
        <w:t xml:space="preserve">probabilities. The standardizer and the one-hot encoder both estimate their</w:t>
      </w:r>
      <w:r>
        <w:t xml:space="preserve"> </w:t>
      </w:r>
      <w:r>
        <w:t xml:space="preserve">parameters from data, so fitting either outside the cross-validation loop</w:t>
      </w:r>
      <w:r>
        <w:t xml:space="preserve"> </w:t>
      </w:r>
      <w:r>
        <w:t xml:space="preserve">would let held-out rows inform their own transformation. Bundling them with</w:t>
      </w:r>
      <w:r>
        <w:t xml:space="preserve"> </w:t>
      </w:r>
      <w:r>
        <w:t xml:space="preserve">the estimator prevents this. With no imputation anywhere in the pipeline,</w:t>
      </w:r>
      <w:r>
        <w:t xml:space="preserve"> </w:t>
      </w:r>
      <w:r>
        <w:t xml:space="preserve">these are the only two fitted preprocessing steps, so the cross-validated</w:t>
      </w:r>
      <w:r>
        <w:t xml:space="preserve"> </w:t>
      </w:r>
      <w:r>
        <w:t xml:space="preserve">estimates carry no preprocessing leakage. Tuning grids are keyed by classifier</w:t>
      </w:r>
      <w:r>
        <w:t xml:space="preserve"> </w:t>
      </w:r>
      <w:r>
        <w:t xml:space="preserve">only and are identical across representations.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