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7966a143138ac64e506d599f6926738d755e91"/>
    <w:p>
      <w:pPr>
        <w:pStyle w:val="Heading1"/>
      </w:pPr>
      <w:r>
        <w:t xml:space="preserve">Supplement S5. Discrimination stratified by length of pre-index history</w:t>
      </w:r>
    </w:p>
    <w:p>
      <w:pPr>
        <w:pStyle w:val="FirstParagraph"/>
      </w:pPr>
      <w:r>
        <w:t xml:space="preserve">The main text tests the volume and recency confound by correlating the TRD</w:t>
      </w:r>
      <w:r>
        <w:t xml:space="preserve"> </w:t>
      </w:r>
      <w:r>
        <w:t xml:space="preserve">label with three proxies for how much data a patient has, and finds all three</w:t>
      </w:r>
      <w:r>
        <w:t xml:space="preserve"> </w:t>
      </w:r>
      <w:r>
        <w:t xml:space="preserve">associations weak and negative (Results,</w:t>
      </w:r>
      <w:r>
        <w:t xml:space="preserve"> </w:t>
      </w:r>
      <w:r>
        <w:rPr>
          <w:iCs/>
          <w:i/>
        </w:rPr>
        <w:t xml:space="preserve">Validity checks</w:t>
      </w:r>
      <w:r>
        <w:t xml:space="preserve">; Figure 11). That</w:t>
      </w:r>
      <w:r>
        <w:t xml:space="preserve"> </w:t>
      </w:r>
      <w:r>
        <w:t xml:space="preserve">test asks whether the</w:t>
      </w:r>
      <w:r>
        <w:t xml:space="preserve"> </w:t>
      </w:r>
      <w:r>
        <w:rPr>
          <w:iCs/>
          <w:i/>
        </w:rPr>
        <w:t xml:space="preserve">outcome</w:t>
      </w:r>
      <w:r>
        <w:t xml:space="preserve"> </w:t>
      </w:r>
      <w:r>
        <w:t xml:space="preserve">tracks data volume. This section asks the</w:t>
      </w:r>
      <w:r>
        <w:t xml:space="preserve"> </w:t>
      </w:r>
      <w:r>
        <w:t xml:space="preserve">stronger question: whether</w:t>
      </w:r>
      <w:r>
        <w:t xml:space="preserve"> </w:t>
      </w:r>
      <w:r>
        <w:rPr>
          <w:iCs/>
          <w:i/>
        </w:rPr>
        <w:t xml:space="preserve">discrimination</w:t>
      </w:r>
      <w:r>
        <w:t xml:space="preserve"> </w:t>
      </w:r>
      <w:r>
        <w:t xml:space="preserve">tracks it, which is what one would</w:t>
      </w:r>
      <w:r>
        <w:t xml:space="preserve"> </w:t>
      </w:r>
      <w:r>
        <w:t xml:space="preserve">expect if the predictor were partly reading data volume rather than clinical</w:t>
      </w:r>
      <w:r>
        <w:t xml:space="preserve"> </w:t>
      </w:r>
      <w:r>
        <w:t xml:space="preserve">content.</w:t>
      </w:r>
    </w:p>
    <w:p>
      <w:pPr>
        <w:pStyle w:val="BodyText"/>
      </w:pPr>
      <w:r>
        <w:t xml:space="preserve">The held-out test set was divided into quintiles of pre-index history length</w:t>
      </w:r>
      <w:r>
        <w:t xml:space="preserve"> </w:t>
      </w:r>
      <w:r>
        <w:t xml:space="preserve">and the neighbor-weighted predictor was scored within each quintile. The</w:t>
      </w:r>
      <w:r>
        <w:t xml:space="preserve"> </w:t>
      </w:r>
      <w:r>
        <w:t xml:space="preserve">nearest-retrieval, cosine-weighted arm is reported in Table S4. The pattern is</w:t>
      </w:r>
      <w:r>
        <w:t xml:space="preserve"> </w:t>
      </w:r>
      <w:r>
        <w:t xml:space="preserve">the same under uniform weighting.</w:t>
      </w:r>
    </w:p>
    <w:p>
      <w:pPr>
        <w:pStyle w:val="BodyText"/>
      </w:pPr>
      <w:r>
        <w:rPr>
          <w:bCs/>
          <w:b/>
          <w:iCs/>
          <w:i/>
        </w:rPr>
        <w:t xml:space="preserve">Table S4.</w:t>
      </w:r>
      <w:r>
        <w:rPr>
          <w:iCs/>
          <w:i/>
        </w:rPr>
        <w:t xml:space="preserve"> </w:t>
      </w:r>
      <w:r>
        <w:rPr>
          <w:iCs/>
          <w:i/>
        </w:rPr>
        <w:t xml:space="preserve">Neighbor-weighted discrimination by quintile of pre-index</w:t>
      </w:r>
      <w:r>
        <w:rPr>
          <w:iCs/>
          <w:i/>
        </w:rPr>
        <w:t xml:space="preserve"> </w:t>
      </w:r>
      <w:r>
        <w:rPr>
          <w:iCs/>
          <w:i/>
        </w:rPr>
        <w:t xml:space="preserve">history length (nearest retrieval, cosine weighting, embedded representation,</w:t>
      </w:r>
      <w:r>
        <w:rPr>
          <w:iCs/>
          <w:i/>
        </w:rPr>
        <w:t xml:space="preserve"> </w:t>
      </w:r>
      <w:r>
        <w:rPr>
          <w:iCs/>
          <w:i/>
        </w:rPr>
        <w:t xml:space="preserve">held-out test set). Quintile bounds are in days of pre-index history.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Pre-index history (days)</w:t>
            </w:r>
          </w:p>
        </w:tc>
        <w:tc>
          <w:p>
            <w:pPr>
              <w:pStyle w:val="Compact"/>
              <w:jc w:val="right"/>
            </w:pPr>
            <w:r>
              <w:t xml:space="preserve">Patients</w:t>
            </w:r>
          </w:p>
        </w:tc>
        <w:tc>
          <w:p>
            <w:pPr>
              <w:pStyle w:val="Compact"/>
              <w:jc w:val="right"/>
            </w:pPr>
            <w:r>
              <w:t xml:space="preserve">ROC AUC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731–1,110</w:t>
            </w:r>
          </w:p>
        </w:tc>
        <w:tc>
          <w:p>
            <w:pPr>
              <w:pStyle w:val="Compact"/>
              <w:jc w:val="right"/>
            </w:pPr>
            <w:r>
              <w:t xml:space="preserve">1,706</w:t>
            </w:r>
          </w:p>
        </w:tc>
        <w:tc>
          <w:p>
            <w:pPr>
              <w:pStyle w:val="Compact"/>
              <w:jc w:val="right"/>
            </w:pPr>
            <w:r>
              <w:t xml:space="preserve">0.580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1,110–1,554</w:t>
            </w:r>
          </w:p>
        </w:tc>
        <w:tc>
          <w:p>
            <w:pPr>
              <w:pStyle w:val="Compact"/>
              <w:jc w:val="right"/>
            </w:pPr>
            <w:r>
              <w:t xml:space="preserve">1,704</w:t>
            </w:r>
          </w:p>
        </w:tc>
        <w:tc>
          <w:p>
            <w:pPr>
              <w:pStyle w:val="Compact"/>
              <w:jc w:val="right"/>
            </w:pPr>
            <w:r>
              <w:t xml:space="preserve">0.598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1,554–2,066</w:t>
            </w:r>
          </w:p>
        </w:tc>
        <w:tc>
          <w:p>
            <w:pPr>
              <w:pStyle w:val="Compact"/>
              <w:jc w:val="right"/>
            </w:pPr>
            <w:r>
              <w:t xml:space="preserve">1,701</w:t>
            </w:r>
          </w:p>
        </w:tc>
        <w:tc>
          <w:p>
            <w:pPr>
              <w:pStyle w:val="Compact"/>
              <w:jc w:val="right"/>
            </w:pPr>
            <w:r>
              <w:t xml:space="preserve">0.582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2,066–2,733</w:t>
            </w:r>
          </w:p>
        </w:tc>
        <w:tc>
          <w:p>
            <w:pPr>
              <w:pStyle w:val="Compact"/>
              <w:jc w:val="right"/>
            </w:pPr>
            <w:r>
              <w:t xml:space="preserve">1,704</w:t>
            </w:r>
          </w:p>
        </w:tc>
        <w:tc>
          <w:p>
            <w:pPr>
              <w:pStyle w:val="Compact"/>
              <w:jc w:val="right"/>
            </w:pPr>
            <w:r>
              <w:t xml:space="preserve">0.610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2,733–5,288</w:t>
            </w:r>
          </w:p>
        </w:tc>
        <w:tc>
          <w:p>
            <w:pPr>
              <w:pStyle w:val="Compact"/>
              <w:jc w:val="right"/>
            </w:pPr>
            <w:r>
              <w:t xml:space="preserve">1,701</w:t>
            </w:r>
          </w:p>
        </w:tc>
        <w:tc>
          <w:p>
            <w:pPr>
              <w:pStyle w:val="Compact"/>
              <w:jc w:val="right"/>
            </w:pPr>
            <w:r>
              <w:t xml:space="preserve">0.578</w:t>
            </w:r>
          </w:p>
        </w:tc>
      </w:tr>
    </w:tbl>
    <w:p>
      <w:pPr>
        <w:pStyle w:val="BodyText"/>
      </w:pPr>
      <w:r>
        <w:t xml:space="preserve">Discrimination is flat across the range. The spread between the best and worst</w:t>
      </w:r>
      <w:r>
        <w:t xml:space="preserve"> </w:t>
      </w:r>
      <w:r>
        <w:t xml:space="preserve">quintile is 0.032 ROC AUC with no monotone trend, across a span of history</w:t>
      </w:r>
      <w:r>
        <w:t xml:space="preserve"> </w:t>
      </w:r>
      <w:r>
        <w:t xml:space="preserve">length that varies more than fourfold from the shortest quintile to the</w:t>
      </w:r>
      <w:r>
        <w:t xml:space="preserve"> </w:t>
      </w:r>
      <w:r>
        <w:t xml:space="preserve">longest. Had the predictor been exploiting record volume, discrimination should</w:t>
      </w:r>
      <w:r>
        <w:t xml:space="preserve"> </w:t>
      </w:r>
      <w:r>
        <w:t xml:space="preserve">have risen with it. It does not.</w:t>
      </w:r>
    </w:p>
    <w:p>
      <w:pPr>
        <w:pStyle w:val="BodyText"/>
      </w:pPr>
      <w:r>
        <w:t xml:space="preserve">Two limits on this analysis. It covers the neighbor-weighted arm only, not the</w:t>
      </w:r>
      <w:r>
        <w:t xml:space="preserve"> </w:t>
      </w:r>
      <w:r>
        <w:t xml:space="preserve">trained classifiers that carry the main comparison, because the stratification</w:t>
      </w:r>
      <w:r>
        <w:t xml:space="preserve"> </w:t>
      </w:r>
      <w:r>
        <w:t xml:space="preserve">was computed over the neighbor predictions. And each quintile holds roughly</w:t>
      </w:r>
      <w:r>
        <w:t xml:space="preserve"> </w:t>
      </w:r>
      <w:r>
        <w:t xml:space="preserve">1,700 patients, so the per-quintile estimates are individually imprecise. The</w:t>
      </w:r>
      <w:r>
        <w:t xml:space="preserve"> </w:t>
      </w:r>
      <w:r>
        <w:t xml:space="preserve">claim rests on the absence of a trend rather than on any single value. A</w:t>
      </w:r>
      <w:r>
        <w:t xml:space="preserve"> </w:t>
      </w:r>
      <w:r>
        <w:t xml:space="preserve">parallel stratification by embedding-neighborhood density was computed but is</w:t>
      </w:r>
      <w:r>
        <w:t xml:space="preserve"> </w:t>
      </w:r>
      <w:r>
        <w:t xml:space="preserve">not reported, because the density distribution is concentrated enough that</w:t>
      </w:r>
      <w:r>
        <w:t xml:space="preserve"> </w:t>
      </w:r>
      <w:r>
        <w:t xml:space="preserve">three of its five bins were empty, leaving too little coverage to interpret.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2026-09-08T19:38:32Z</dcterms:created>
  <dcterms:modified xsi:type="dcterms:W3CDTF">2026-09-08T19:38:32Z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