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82efe1b482392b1c97b9da1af0bba752f7c98b"/>
    <w:p>
      <w:pPr>
        <w:pStyle w:val="Heading1"/>
      </w:pPr>
      <w:r>
        <w:t xml:space="preserve">Supplement S6. The held-out set against the training set</w:t>
      </w:r>
    </w:p>
    <w:p>
      <w:pPr>
        <w:pStyle w:val="FirstParagraph"/>
      </w:pPr>
      <w:r>
        <w:t xml:space="preserve">The main text reports the split’s sizes and outcome counts (Methods,</w:t>
      </w:r>
      <w:r>
        <w:t xml:space="preserve"> </w:t>
      </w:r>
      <w:r>
        <w:rPr>
          <w:iCs/>
          <w:i/>
        </w:rPr>
        <w:t xml:space="preserve">Missing data and sample partition</w:t>
      </w:r>
      <w:r>
        <w:t xml:space="preserve">) and states that every per-predictor</w:t>
      </w:r>
      <w:r>
        <w:t xml:space="preserve"> </w:t>
      </w:r>
      <w:r>
        <w:t xml:space="preserve">standardized mean difference (SMD) is small. This</w:t>
      </w:r>
      <w:r>
        <w:t xml:space="preserve"> </w:t>
      </w:r>
      <w:r>
        <w:t xml:space="preserve">section shows the distributions behind that statement, because a claim about</w:t>
      </w:r>
      <w:r>
        <w:t xml:space="preserve"> </w:t>
      </w:r>
      <w:r>
        <w:t xml:space="preserve">comparability that is asserted rather than displayed cannot be checked by a</w:t>
      </w:r>
      <w:r>
        <w:t xml:space="preserve"> </w:t>
      </w:r>
      <w:r>
        <w:t xml:space="preserve">reader.</w:t>
      </w:r>
    </w:p>
    <w:p>
      <w:pPr>
        <w:pStyle w:val="BodyText"/>
      </w:pPr>
      <w:r>
        <w:t xml:space="preserve">The split is the frozen stratified 80/20 split every evaluation in this paper</w:t>
      </w:r>
      <w:r>
        <w:t xml:space="preserve"> </w:t>
      </w:r>
      <w:r>
        <w:t xml:space="preserve">uses. Nothing was refit or re-split to produce this table. SMDs use the same</w:t>
      </w:r>
      <w:r>
        <w:t xml:space="preserve"> </w:t>
      </w:r>
      <w:r>
        <w:t xml:space="preserve">pooled-standard-deviation definition as main-text Table 1, so the two tables are directly</w:t>
      </w:r>
      <w:r>
        <w:t xml:space="preserve"> </w:t>
      </w:r>
      <w:r>
        <w:t xml:space="preserve">comparable. Over the 100 predictor rows the largest absolute SMD is</w:t>
      </w:r>
      <w:r>
        <w:t xml:space="preserve"> </w:t>
      </w:r>
      <w:r>
        <w:rPr>
          <w:bCs/>
          <w:b/>
        </w:rPr>
        <w:t xml:space="preserve">0.036</w:t>
      </w:r>
      <w:r>
        <w:t xml:space="preserve">,</w:t>
      </w:r>
      <w:r>
        <w:t xml:space="preserve"> </w:t>
      </w:r>
      <w:r>
        <w:t xml:space="preserve">and no row reaches the conventional 0.1 threshold for a non-trivial imbalance.</w:t>
      </w:r>
      <w:r>
        <w:t xml:space="preserve"> </w:t>
      </w:r>
      <w:r>
        <w:t xml:space="preserve">The maximum sits on a social-determinant flag recorded for 22 training</w:t>
      </w:r>
      <w:r>
        <w:t xml:space="preserve"> </w:t>
      </w:r>
      <w:r>
        <w:t xml:space="preserve">patients and none of the held-out patients. That is a small-cell artifact</w:t>
      </w:r>
      <w:r>
        <w:t xml:space="preserve"> </w:t>
      </w:r>
      <w:r>
        <w:t xml:space="preserve">rather than a distributional difference, and the flag’s prevalence is 0.1% in</w:t>
      </w:r>
      <w:r>
        <w:t xml:space="preserve"> </w:t>
      </w:r>
      <w:r>
        <w:t xml:space="preserve">the arm that has it.</w:t>
      </w:r>
      <w:r>
        <w:t xml:space="preserve"> </w:t>
      </w:r>
      <w:r>
        <w:t xml:space="preserve">The outcome rate matches by construction, the split having been stratified on</w:t>
      </w:r>
      <w:r>
        <w:t xml:space="preserve"> </w:t>
      </w:r>
      <w:r>
        <w:t xml:space="preserve">it, and is therefore not evidence of anything.</w:t>
      </w:r>
    </w:p>
    <w:p>
      <w:pPr>
        <w:pStyle w:val="BodyText"/>
      </w:pPr>
      <w:r>
        <w:rPr>
          <w:bCs/>
          <w:b/>
          <w:iCs/>
          <w:i/>
        </w:rPr>
        <w:t xml:space="preserve">Table S5.</w:t>
      </w:r>
      <w:r>
        <w:rPr>
          <w:iCs/>
          <w:i/>
        </w:rPr>
        <w:t xml:space="preserve"> </w:t>
      </w:r>
      <w:r>
        <w:rPr>
          <w:iCs/>
          <w:i/>
        </w:rPr>
        <w:t xml:space="preserve">Held-out patients against training patients on the</w:t>
      </w:r>
      <w:r>
        <w:rPr>
          <w:iCs/>
          <w:i/>
        </w:rPr>
        <w:t xml:space="preserve"> </w:t>
      </w:r>
      <w:r>
        <w:rPr>
          <w:iCs/>
          <w:i/>
        </w:rPr>
        <w:t xml:space="preserve">characteristics reported in main-text Table 1. Continuous variables are median</w:t>
      </w:r>
      <w:r>
        <w:rPr>
          <w:iCs/>
          <w:i/>
        </w:rPr>
        <w:t xml:space="preserve"> </w:t>
      </w:r>
      <w:r>
        <w:rPr>
          <w:iCs/>
          <w:i/>
        </w:rPr>
        <w:t xml:space="preserve">(IQR); categorical and boolean entries are n (%). SMD is training minus</w:t>
      </w:r>
      <w:r>
        <w:rPr>
          <w:iCs/>
          <w:i/>
        </w:rPr>
        <w:t xml:space="preserve"> </w:t>
      </w:r>
      <w:r>
        <w:rPr>
          <w:iCs/>
          <w:i/>
        </w:rPr>
        <w:t xml:space="preserve">held-out, in pooled standard deviations. Vital signs are shown because they</w:t>
      </w:r>
      <w:r>
        <w:rPr>
          <w:iCs/>
          <w:i/>
        </w:rPr>
        <w:t xml:space="preserve"> </w:t>
      </w:r>
      <w:r>
        <w:rPr>
          <w:iCs/>
          <w:i/>
        </w:rPr>
        <w:t xml:space="preserve">describe the cohort, but they are rendered only in the narrative</w:t>
      </w:r>
      <w:r>
        <w:rPr>
          <w:iCs/>
          <w:i/>
        </w:rPr>
        <w:t xml:space="preserve"> </w:t>
      </w:r>
      <w:r>
        <w:rPr>
          <w:iCs/>
          <w:i/>
        </w:rPr>
        <w:t xml:space="preserve">representation and are absent from the feature vector as published</w:t>
      </w:r>
      <w:r>
        <w:rPr>
          <w:iCs/>
          <w:i/>
        </w:rPr>
        <w:t xml:space="preserve"> </w:t>
      </w:r>
      <w:r>
        <w:rPr>
          <w:iCs/>
          <w:i/>
        </w:rPr>
        <w:t xml:space="preserve">(Supplement S8).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p>
            <w:pPr>
              <w:pStyle w:val="Compact"/>
              <w:jc w:val="right"/>
            </w:pPr>
            <w:r>
              <w:t xml:space="preserve">Training</w:t>
            </w:r>
          </w:p>
        </w:tc>
        <w:tc>
          <w:p>
            <w:pPr>
              <w:pStyle w:val="Compact"/>
              <w:jc w:val="right"/>
            </w:pPr>
            <w:r>
              <w:t xml:space="preserve">Held-out</w:t>
            </w:r>
          </w:p>
        </w:tc>
        <w:tc>
          <w:p>
            <w:pPr>
              <w:pStyle w:val="Compact"/>
              <w:jc w:val="right"/>
            </w:pPr>
            <w:r>
              <w:t xml:space="preserve">SMD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Demographics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Age (years)</w:t>
            </w:r>
          </w:p>
        </w:tc>
        <w:tc>
          <w:p>
            <w:pPr>
              <w:pStyle w:val="Compact"/>
              <w:jc w:val="right"/>
            </w:pPr>
            <w:r>
              <w:t xml:space="preserve">55 (38-70)</w:t>
            </w:r>
          </w:p>
        </w:tc>
        <w:tc>
          <w:p>
            <w:pPr>
              <w:pStyle w:val="Compact"/>
              <w:jc w:val="right"/>
            </w:pPr>
            <w:r>
              <w:t xml:space="preserve">55 (38-70)</w:t>
            </w:r>
          </w:p>
        </w:tc>
        <w:tc>
          <w:p>
            <w:pPr>
              <w:pStyle w:val="Compact"/>
              <w:jc w:val="right"/>
            </w:pPr>
            <w:r>
              <w:t xml:space="preserve">-0.014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band: 18-29</w:t>
            </w:r>
          </w:p>
        </w:tc>
        <w:tc>
          <w:p>
            <w:pPr>
              <w:pStyle w:val="Compact"/>
              <w:jc w:val="right"/>
            </w:pPr>
            <w:r>
              <w:t xml:space="preserve">4,428 (13.0%)</w:t>
            </w:r>
          </w:p>
        </w:tc>
        <w:tc>
          <w:p>
            <w:pPr>
              <w:pStyle w:val="Compact"/>
              <w:jc w:val="right"/>
            </w:pPr>
            <w:r>
              <w:t xml:space="preserve">1,085 (12.7%)</w:t>
            </w:r>
          </w:p>
        </w:tc>
        <w:tc>
          <w:p>
            <w:pPr>
              <w:pStyle w:val="Compact"/>
              <w:jc w:val="right"/>
            </w:pPr>
            <w:r>
              <w:t xml:space="preserve">+0.008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band: 30-44</w:t>
            </w:r>
          </w:p>
        </w:tc>
        <w:tc>
          <w:p>
            <w:pPr>
              <w:pStyle w:val="Compact"/>
              <w:jc w:val="right"/>
            </w:pPr>
            <w:r>
              <w:t xml:space="preserve">7,198 (21.1%)</w:t>
            </w:r>
          </w:p>
        </w:tc>
        <w:tc>
          <w:p>
            <w:pPr>
              <w:pStyle w:val="Compact"/>
              <w:jc w:val="right"/>
            </w:pPr>
            <w:r>
              <w:t xml:space="preserve">1,827 (21.5%)</w:t>
            </w:r>
          </w:p>
        </w:tc>
        <w:tc>
          <w:p>
            <w:pPr>
              <w:pStyle w:val="Compact"/>
              <w:jc w:val="right"/>
            </w:pPr>
            <w:r>
              <w:t xml:space="preserve">-0.008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band: 45-64</w:t>
            </w:r>
          </w:p>
        </w:tc>
        <w:tc>
          <w:p>
            <w:pPr>
              <w:pStyle w:val="Compact"/>
              <w:jc w:val="right"/>
            </w:pPr>
            <w:r>
              <w:t xml:space="preserve">10,632 (31.2%)</w:t>
            </w:r>
          </w:p>
        </w:tc>
        <w:tc>
          <w:p>
            <w:pPr>
              <w:pStyle w:val="Compact"/>
              <w:jc w:val="right"/>
            </w:pPr>
            <w:r>
              <w:t xml:space="preserve">2,636 (31.0%)</w:t>
            </w:r>
          </w:p>
        </w:tc>
        <w:tc>
          <w:p>
            <w:pPr>
              <w:pStyle w:val="Compact"/>
              <w:jc w:val="right"/>
            </w:pPr>
            <w:r>
              <w:t xml:space="preserve">+0.006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band: 65+</w:t>
            </w:r>
          </w:p>
        </w:tc>
        <w:tc>
          <w:p>
            <w:pPr>
              <w:pStyle w:val="Compact"/>
              <w:jc w:val="right"/>
            </w:pPr>
            <w:r>
              <w:t xml:space="preserve">11,805 (34.7%)</w:t>
            </w:r>
          </w:p>
        </w:tc>
        <w:tc>
          <w:p>
            <w:pPr>
              <w:pStyle w:val="Compact"/>
              <w:jc w:val="right"/>
            </w:pPr>
            <w:r>
              <w:t xml:space="preserve">2,968 (34.9%)</w:t>
            </w:r>
          </w:p>
        </w:tc>
        <w:tc>
          <w:p>
            <w:pPr>
              <w:pStyle w:val="Compact"/>
              <w:jc w:val="right"/>
            </w:pPr>
            <w:r>
              <w:t xml:space="preserve">-0.004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Sex: Female</w:t>
            </w:r>
          </w:p>
        </w:tc>
        <w:tc>
          <w:p>
            <w:pPr>
              <w:pStyle w:val="Compact"/>
              <w:jc w:val="right"/>
            </w:pPr>
            <w:r>
              <w:t xml:space="preserve">24,682 (72.5%)</w:t>
            </w:r>
          </w:p>
        </w:tc>
        <w:tc>
          <w:p>
            <w:pPr>
              <w:pStyle w:val="Compact"/>
              <w:jc w:val="right"/>
            </w:pPr>
            <w:r>
              <w:t xml:space="preserve">6,168 (72.4%)</w:t>
            </w:r>
          </w:p>
        </w:tc>
        <w:tc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Race: White/Caucasian</w:t>
            </w:r>
          </w:p>
        </w:tc>
        <w:tc>
          <w:p>
            <w:pPr>
              <w:pStyle w:val="Compact"/>
              <w:jc w:val="right"/>
            </w:pPr>
            <w:r>
              <w:t xml:space="preserve">27,244 (80.0%)</w:t>
            </w:r>
          </w:p>
        </w:tc>
        <w:tc>
          <w:p>
            <w:pPr>
              <w:pStyle w:val="Compact"/>
              <w:jc w:val="right"/>
            </w:pPr>
            <w:r>
              <w:t xml:space="preserve">6,835 (80.3%)</w:t>
            </w:r>
          </w:p>
        </w:tc>
        <w:tc>
          <w:p>
            <w:pPr>
              <w:pStyle w:val="Compact"/>
              <w:jc w:val="right"/>
            </w:pPr>
            <w:r>
              <w:t xml:space="preserve">-0.007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Race: Black/African American</w:t>
            </w:r>
          </w:p>
        </w:tc>
        <w:tc>
          <w:p>
            <w:pPr>
              <w:pStyle w:val="Compact"/>
              <w:jc w:val="right"/>
            </w:pPr>
            <w:r>
              <w:t xml:space="preserve">1,894 (5.6%)</w:t>
            </w:r>
          </w:p>
        </w:tc>
        <w:tc>
          <w:p>
            <w:pPr>
              <w:pStyle w:val="Compact"/>
              <w:jc w:val="right"/>
            </w:pPr>
            <w:r>
              <w:t xml:space="preserve">474 (5.6%)</w:t>
            </w:r>
          </w:p>
        </w:tc>
        <w:tc>
          <w:p>
            <w:pPr>
              <w:pStyle w:val="Compact"/>
              <w:jc w:val="right"/>
            </w:pPr>
            <w:r>
              <w:t xml:space="preserve">-0.000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Race: Am. Indian/Alaska Native</w:t>
            </w:r>
          </w:p>
        </w:tc>
        <w:tc>
          <w:p>
            <w:pPr>
              <w:pStyle w:val="Compact"/>
              <w:jc w:val="right"/>
            </w:pPr>
            <w:r>
              <w:t xml:space="preserve">1,637 (4.8%)</w:t>
            </w:r>
          </w:p>
        </w:tc>
        <w:tc>
          <w:p>
            <w:pPr>
              <w:pStyle w:val="Compact"/>
              <w:jc w:val="right"/>
            </w:pPr>
            <w:r>
              <w:t xml:space="preserve">396 (4.7%)</w:t>
            </w:r>
          </w:p>
        </w:tc>
        <w:tc>
          <w:p>
            <w:pPr>
              <w:pStyle w:val="Compact"/>
              <w:jc w:val="right"/>
            </w:pPr>
            <w:r>
              <w:t xml:space="preserve">+0.007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Race: Missing</w:t>
            </w:r>
          </w:p>
        </w:tc>
        <w:tc>
          <w:p>
            <w:pPr>
              <w:pStyle w:val="Compact"/>
              <w:jc w:val="right"/>
            </w:pPr>
            <w:r>
              <w:t xml:space="preserve">247 (0.7%)</w:t>
            </w:r>
          </w:p>
        </w:tc>
        <w:tc>
          <w:p>
            <w:pPr>
              <w:pStyle w:val="Compact"/>
              <w:jc w:val="right"/>
            </w:pPr>
            <w:r>
              <w:t xml:space="preserve">50 (0.6%)</w:t>
            </w:r>
          </w:p>
        </w:tc>
        <w:tc>
          <w:p>
            <w:pPr>
              <w:pStyle w:val="Compact"/>
              <w:jc w:val="right"/>
            </w:pPr>
            <w:r>
              <w:t xml:space="preserve">+0.017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Language: English only</w:t>
            </w:r>
          </w:p>
        </w:tc>
        <w:tc>
          <w:p>
            <w:pPr>
              <w:pStyle w:val="Compact"/>
              <w:jc w:val="right"/>
            </w:pPr>
            <w:r>
              <w:t xml:space="preserve">33,698 (98.9%)</w:t>
            </w:r>
          </w:p>
        </w:tc>
        <w:tc>
          <w:p>
            <w:pPr>
              <w:pStyle w:val="Compact"/>
              <w:jc w:val="right"/>
            </w:pPr>
            <w:r>
              <w:t xml:space="preserve">8,425 (98.9%)</w:t>
            </w:r>
          </w:p>
        </w:tc>
        <w:tc>
          <w:p>
            <w:pPr>
              <w:pStyle w:val="Compact"/>
              <w:jc w:val="right"/>
            </w:pPr>
            <w:r>
              <w:t xml:space="preserve">-0.000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Depression phenotype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MDD recurrence: Recurrent</w:t>
            </w:r>
          </w:p>
        </w:tc>
        <w:tc>
          <w:p>
            <w:pPr>
              <w:pStyle w:val="Compact"/>
              <w:jc w:val="right"/>
            </w:pPr>
            <w:r>
              <w:t xml:space="preserve">9,036 (26.5%)</w:t>
            </w:r>
          </w:p>
        </w:tc>
        <w:tc>
          <w:p>
            <w:pPr>
              <w:pStyle w:val="Compact"/>
              <w:jc w:val="right"/>
            </w:pPr>
            <w:r>
              <w:t xml:space="preserve">2,177 (25.6%)</w:t>
            </w:r>
          </w:p>
        </w:tc>
        <w:tc>
          <w:p>
            <w:pPr>
              <w:pStyle w:val="Compact"/>
              <w:jc w:val="right"/>
            </w:pPr>
            <w:r>
              <w:t xml:space="preserve">+0.022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Severe</w:t>
            </w:r>
          </w:p>
        </w:tc>
        <w:tc>
          <w:p>
            <w:pPr>
              <w:pStyle w:val="Compact"/>
              <w:jc w:val="right"/>
            </w:pPr>
            <w:r>
              <w:t xml:space="preserve">1,818 (5.3%)</w:t>
            </w:r>
          </w:p>
        </w:tc>
        <w:tc>
          <w:p>
            <w:pPr>
              <w:pStyle w:val="Compact"/>
              <w:jc w:val="right"/>
            </w:pPr>
            <w:r>
              <w:t xml:space="preserve">468 (5.5%)</w:t>
            </w:r>
          </w:p>
        </w:tc>
        <w:tc>
          <w:p>
            <w:pPr>
              <w:pStyle w:val="Compact"/>
              <w:jc w:val="right"/>
            </w:pPr>
            <w:r>
              <w:t xml:space="preserve">-0.007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Moderate</w:t>
            </w:r>
          </w:p>
        </w:tc>
        <w:tc>
          <w:p>
            <w:pPr>
              <w:pStyle w:val="Compact"/>
              <w:jc w:val="right"/>
            </w:pPr>
            <w:r>
              <w:t xml:space="preserve">5,807 (17.0%)</w:t>
            </w:r>
          </w:p>
        </w:tc>
        <w:tc>
          <w:p>
            <w:pPr>
              <w:pStyle w:val="Compact"/>
              <w:jc w:val="right"/>
            </w:pPr>
            <w:r>
              <w:t xml:space="preserve">1,426 (16.7%)</w:t>
            </w:r>
          </w:p>
        </w:tc>
        <w:tc>
          <w:p>
            <w:pPr>
              <w:pStyle w:val="Compact"/>
              <w:jc w:val="right"/>
            </w:pPr>
            <w:r>
              <w:t xml:space="preserve">+0.008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Psychiatric and substance comorbidity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Suicidality flagged</w:t>
            </w:r>
          </w:p>
        </w:tc>
        <w:tc>
          <w:p>
            <w:pPr>
              <w:pStyle w:val="Compact"/>
              <w:jc w:val="right"/>
            </w:pPr>
            <w:r>
              <w:t xml:space="preserve">1,392 (4.1%)</w:t>
            </w:r>
          </w:p>
        </w:tc>
        <w:tc>
          <w:p>
            <w:pPr>
              <w:pStyle w:val="Compact"/>
              <w:jc w:val="right"/>
            </w:pPr>
            <w:r>
              <w:t xml:space="preserve">361 (4.2%)</w:t>
            </w:r>
          </w:p>
        </w:tc>
        <w:tc>
          <w:p>
            <w:pPr>
              <w:pStyle w:val="Compact"/>
              <w:jc w:val="right"/>
            </w:pPr>
            <w:r>
              <w:t xml:space="preserve">-0.008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Anxiety disorder</w:t>
            </w:r>
          </w:p>
        </w:tc>
        <w:tc>
          <w:p>
            <w:pPr>
              <w:pStyle w:val="Compact"/>
              <w:jc w:val="right"/>
            </w:pPr>
            <w:r>
              <w:t xml:space="preserve">17,975 (52.8%)</w:t>
            </w:r>
          </w:p>
        </w:tc>
        <w:tc>
          <w:p>
            <w:pPr>
              <w:pStyle w:val="Compact"/>
              <w:jc w:val="right"/>
            </w:pPr>
            <w:r>
              <w:t xml:space="preserve">4,426 (52.0%)</w:t>
            </w:r>
          </w:p>
        </w:tc>
        <w:tc>
          <w:p>
            <w:pPr>
              <w:pStyle w:val="Compact"/>
              <w:jc w:val="right"/>
            </w:pPr>
            <w:r>
              <w:t xml:space="preserve">+0.016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Substance use disorder (any)</w:t>
            </w:r>
          </w:p>
        </w:tc>
        <w:tc>
          <w:p>
            <w:pPr>
              <w:pStyle w:val="Compact"/>
              <w:jc w:val="right"/>
            </w:pPr>
            <w:r>
              <w:t xml:space="preserve">7,472 (21.9%)</w:t>
            </w:r>
          </w:p>
        </w:tc>
        <w:tc>
          <w:p>
            <w:pPr>
              <w:pStyle w:val="Compact"/>
              <w:jc w:val="right"/>
            </w:pPr>
            <w:r>
              <w:t xml:space="preserve">1,793 (21.1%)</w:t>
            </w:r>
          </w:p>
        </w:tc>
        <w:tc>
          <w:p>
            <w:pPr>
              <w:pStyle w:val="Compact"/>
              <w:jc w:val="right"/>
            </w:pPr>
            <w:r>
              <w:t xml:space="preserve">+0.021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Insomnia</w:t>
            </w:r>
          </w:p>
        </w:tc>
        <w:tc>
          <w:p>
            <w:pPr>
              <w:pStyle w:val="Compact"/>
              <w:jc w:val="right"/>
            </w:pPr>
            <w:r>
              <w:t xml:space="preserve">7,452 (21.9%)</w:t>
            </w:r>
          </w:p>
        </w:tc>
        <w:tc>
          <w:p>
            <w:pPr>
              <w:pStyle w:val="Compact"/>
              <w:jc w:val="right"/>
            </w:pPr>
            <w:r>
              <w:t xml:space="preserve">1,898 (22.3%)</w:t>
            </w:r>
          </w:p>
        </w:tc>
        <w:tc>
          <w:p>
            <w:pPr>
              <w:pStyle w:val="Compact"/>
              <w:jc w:val="right"/>
            </w:pPr>
            <w:r>
              <w:t xml:space="preserve">-0.010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PTSD</w:t>
            </w:r>
          </w:p>
        </w:tc>
        <w:tc>
          <w:p>
            <w:pPr>
              <w:pStyle w:val="Compact"/>
              <w:jc w:val="right"/>
            </w:pPr>
            <w:r>
              <w:t xml:space="preserve">1,241 (3.6%)</w:t>
            </w:r>
          </w:p>
        </w:tc>
        <w:tc>
          <w:p>
            <w:pPr>
              <w:pStyle w:val="Compact"/>
              <w:jc w:val="right"/>
            </w:pPr>
            <w:r>
              <w:t xml:space="preserve">300 (3.5%)</w:t>
            </w:r>
          </w:p>
        </w:tc>
        <w:tc>
          <w:p>
            <w:pPr>
              <w:pStyle w:val="Compact"/>
              <w:jc w:val="right"/>
            </w:pPr>
            <w:r>
              <w:t xml:space="preserve">+0.006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Alcohol use disorder</w:t>
            </w:r>
          </w:p>
        </w:tc>
        <w:tc>
          <w:p>
            <w:pPr>
              <w:pStyle w:val="Compact"/>
              <w:jc w:val="right"/>
            </w:pPr>
            <w:r>
              <w:t xml:space="preserve">1,523 (4.5%)</w:t>
            </w:r>
          </w:p>
        </w:tc>
        <w:tc>
          <w:p>
            <w:pPr>
              <w:pStyle w:val="Compact"/>
              <w:jc w:val="right"/>
            </w:pPr>
            <w:r>
              <w:t xml:space="preserve">352 (4.1%)</w:t>
            </w:r>
          </w:p>
        </w:tc>
        <w:tc>
          <w:p>
            <w:pPr>
              <w:pStyle w:val="Compact"/>
              <w:jc w:val="right"/>
            </w:pPr>
            <w:r>
              <w:t xml:space="preserve">+0.017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Medical comorbidity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High cholesterol</w:t>
            </w:r>
          </w:p>
        </w:tc>
        <w:tc>
          <w:p>
            <w:pPr>
              <w:pStyle w:val="Compact"/>
              <w:jc w:val="right"/>
            </w:pPr>
            <w:r>
              <w:t xml:space="preserve">12,591 (37.0%)</w:t>
            </w:r>
          </w:p>
        </w:tc>
        <w:tc>
          <w:p>
            <w:pPr>
              <w:pStyle w:val="Compact"/>
              <w:jc w:val="right"/>
            </w:pPr>
            <w:r>
              <w:t xml:space="preserve">3,156 (37.1%)</w:t>
            </w:r>
          </w:p>
        </w:tc>
        <w:tc>
          <w:p>
            <w:pPr>
              <w:pStyle w:val="Compact"/>
              <w:jc w:val="right"/>
            </w:pPr>
            <w:r>
              <w:t xml:space="preserve">-0.002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Uncontrolled hypertension</w:t>
            </w:r>
          </w:p>
        </w:tc>
        <w:tc>
          <w:p>
            <w:pPr>
              <w:pStyle w:val="Compact"/>
              <w:jc w:val="right"/>
            </w:pPr>
            <w:r>
              <w:t xml:space="preserve">12,544 (36.8%)</w:t>
            </w:r>
          </w:p>
        </w:tc>
        <w:tc>
          <w:p>
            <w:pPr>
              <w:pStyle w:val="Compact"/>
              <w:jc w:val="right"/>
            </w:pPr>
            <w:r>
              <w:t xml:space="preserve">3,136 (36.8%)</w:t>
            </w:r>
          </w:p>
        </w:tc>
        <w:tc>
          <w:p>
            <w:pPr>
              <w:pStyle w:val="Compact"/>
              <w:jc w:val="right"/>
            </w:pPr>
            <w:r>
              <w:t xml:space="preserve">+0.000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Vital signs (narrative only)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p>
            <w:pPr>
              <w:pStyle w:val="Compact"/>
              <w:jc w:val="right"/>
            </w:pPr>
            <w:r>
              <w:t xml:space="preserve">29 (25-35)</w:t>
            </w:r>
          </w:p>
        </w:tc>
        <w:tc>
          <w:p>
            <w:pPr>
              <w:pStyle w:val="Compact"/>
              <w:jc w:val="right"/>
            </w:pPr>
            <w:r>
              <w:t xml:space="preserve">29 (25-35)</w:t>
            </w:r>
          </w:p>
        </w:tc>
        <w:tc>
          <w:p>
            <w:pPr>
              <w:pStyle w:val="Compact"/>
              <w:jc w:val="right"/>
            </w:pPr>
            <w:r>
              <w:t xml:space="preserve">-0.013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Systolic BP</w:t>
            </w:r>
          </w:p>
        </w:tc>
        <w:tc>
          <w:p>
            <w:pPr>
              <w:pStyle w:val="Compact"/>
              <w:jc w:val="right"/>
            </w:pPr>
            <w:r>
              <w:t xml:space="preserve">126 (118-136)</w:t>
            </w:r>
          </w:p>
        </w:tc>
        <w:tc>
          <w:p>
            <w:pPr>
              <w:pStyle w:val="Compact"/>
              <w:jc w:val="right"/>
            </w:pPr>
            <w:r>
              <w:t xml:space="preserve">126 (118-136)</w:t>
            </w:r>
          </w:p>
        </w:tc>
        <w:tc>
          <w:p>
            <w:pPr>
              <w:pStyle w:val="Compact"/>
              <w:jc w:val="right"/>
            </w:pPr>
            <w:r>
              <w:t xml:space="preserve">-0.010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BMI: not recorded</w:t>
            </w:r>
          </w:p>
        </w:tc>
        <w:tc>
          <w:p>
            <w:pPr>
              <w:pStyle w:val="Compact"/>
              <w:jc w:val="right"/>
            </w:pPr>
            <w:r>
              <w:t xml:space="preserve">7,484 (22.0%)</w:t>
            </w:r>
          </w:p>
        </w:tc>
        <w:tc>
          <w:p>
            <w:pPr>
              <w:pStyle w:val="Compact"/>
              <w:jc w:val="right"/>
            </w:pPr>
            <w:r>
              <w:t xml:space="preserve">1,911 (22.4%)</w:t>
            </w:r>
          </w:p>
        </w:tc>
        <w:tc>
          <w:p>
            <w:pPr>
              <w:pStyle w:val="Compact"/>
              <w:jc w:val="right"/>
            </w:pPr>
            <w:r>
              <w:t xml:space="preserve">-0.011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Treatment and utilization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Active med count</w:t>
            </w:r>
          </w:p>
        </w:tc>
        <w:tc>
          <w:p>
            <w:pPr>
              <w:pStyle w:val="Compact"/>
              <w:jc w:val="right"/>
            </w:pPr>
            <w:r>
              <w:t xml:space="preserve">1 (0-2)</w:t>
            </w:r>
          </w:p>
        </w:tc>
        <w:tc>
          <w:p>
            <w:pPr>
              <w:pStyle w:val="Compact"/>
              <w:jc w:val="right"/>
            </w:pPr>
            <w:r>
              <w:t xml:space="preserve">1 (0-2)</w:t>
            </w:r>
          </w:p>
        </w:tc>
        <w:tc>
          <w:p>
            <w:pPr>
              <w:pStyle w:val="Compact"/>
              <w:jc w:val="right"/>
            </w:pPr>
            <w:r>
              <w:t xml:space="preserve">+0.008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Encounter count</w:t>
            </w:r>
          </w:p>
        </w:tc>
        <w:tc>
          <w:p>
            <w:pPr>
              <w:pStyle w:val="Compact"/>
              <w:jc w:val="right"/>
            </w:pPr>
            <w:r>
              <w:t xml:space="preserve">21 (8-46)</w:t>
            </w:r>
          </w:p>
        </w:tc>
        <w:tc>
          <w:p>
            <w:pPr>
              <w:pStyle w:val="Compact"/>
              <w:jc w:val="right"/>
            </w:pPr>
            <w:r>
              <w:t xml:space="preserve">20 (8-47)</w:t>
            </w:r>
          </w:p>
        </w:tc>
        <w:tc>
          <w:p>
            <w:pPr>
              <w:pStyle w:val="Compact"/>
              <w:jc w:val="right"/>
            </w:pPr>
            <w:r>
              <w:t xml:space="preserve">-0.001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Pre-index history (days)</w:t>
            </w:r>
          </w:p>
        </w:tc>
        <w:tc>
          <w:p>
            <w:pPr>
              <w:pStyle w:val="Compact"/>
              <w:jc w:val="right"/>
            </w:pPr>
            <w:r>
              <w:t xml:space="preserve">1792 (1213-2547)</w:t>
            </w:r>
          </w:p>
        </w:tc>
        <w:tc>
          <w:p>
            <w:pPr>
              <w:pStyle w:val="Compact"/>
              <w:jc w:val="right"/>
            </w:pPr>
            <w:r>
              <w:t xml:space="preserve">1797 (1222-2541)</w:t>
            </w:r>
          </w:p>
        </w:tc>
        <w:tc>
          <w:p>
            <w:pPr>
              <w:pStyle w:val="Compact"/>
              <w:jc w:val="right"/>
            </w:pPr>
            <w:r>
              <w:t xml:space="preserve">+0.004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 adequate AD trial (any class)</w:t>
            </w:r>
          </w:p>
        </w:tc>
        <w:tc>
          <w:p>
            <w:pPr>
              <w:pStyle w:val="Compact"/>
              <w:jc w:val="right"/>
            </w:pPr>
            <w:r>
              <w:t xml:space="preserve">5,014 (14.7%)</w:t>
            </w:r>
          </w:p>
        </w:tc>
        <w:tc>
          <w:p>
            <w:pPr>
              <w:pStyle w:val="Compact"/>
              <w:jc w:val="right"/>
            </w:pPr>
            <w:r>
              <w:t xml:space="preserve">1,262 (14.8%)</w:t>
            </w:r>
          </w:p>
        </w:tc>
        <w:tc>
          <w:p>
            <w:pPr>
              <w:pStyle w:val="Compact"/>
              <w:jc w:val="right"/>
            </w:pPr>
            <w:r>
              <w:t xml:space="preserve">-0.003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Benzodiazepine days recorded</w:t>
            </w:r>
          </w:p>
        </w:tc>
        <w:tc>
          <w:p>
            <w:pPr>
              <w:pStyle w:val="Compact"/>
              <w:jc w:val="right"/>
            </w:pPr>
            <w:r>
              <w:t xml:space="preserve">3,775 (11.1%)</w:t>
            </w:r>
          </w:p>
        </w:tc>
        <w:tc>
          <w:p>
            <w:pPr>
              <w:pStyle w:val="Compact"/>
              <w:jc w:val="right"/>
            </w:pPr>
            <w:r>
              <w:t xml:space="preserve">949 (11.1%)</w:t>
            </w:r>
          </w:p>
        </w:tc>
        <w:tc>
          <w:p>
            <w:pPr>
              <w:pStyle w:val="Compact"/>
              <w:jc w:val="right"/>
            </w:pPr>
            <w:r>
              <w:t xml:space="preserve">-0.002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Hypnotic recorded</w:t>
            </w:r>
          </w:p>
        </w:tc>
        <w:tc>
          <w:p>
            <w:pPr>
              <w:pStyle w:val="Compact"/>
              <w:jc w:val="right"/>
            </w:pPr>
            <w:r>
              <w:t xml:space="preserve">1,319 (3.9%)</w:t>
            </w:r>
          </w:p>
        </w:tc>
        <w:tc>
          <w:p>
            <w:pPr>
              <w:pStyle w:val="Compact"/>
              <w:jc w:val="right"/>
            </w:pPr>
            <w:r>
              <w:t xml:space="preserve">342 (4.0%)</w:t>
            </w:r>
          </w:p>
        </w:tc>
        <w:tc>
          <w:p>
            <w:pPr>
              <w:pStyle w:val="Compact"/>
              <w:jc w:val="right"/>
            </w:pPr>
            <w:r>
              <w:t xml:space="preserve">-0.007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Augmentation therapy used</w:t>
            </w:r>
          </w:p>
        </w:tc>
        <w:tc>
          <w:p>
            <w:pPr>
              <w:pStyle w:val="Compact"/>
              <w:jc w:val="right"/>
            </w:pPr>
            <w:r>
              <w:t xml:space="preserve">326 (1.0%)</w:t>
            </w:r>
          </w:p>
        </w:tc>
        <w:tc>
          <w:p>
            <w:pPr>
              <w:pStyle w:val="Compact"/>
              <w:jc w:val="right"/>
            </w:pPr>
            <w:r>
              <w:t xml:space="preserve">96 (1.1%)</w:t>
            </w:r>
          </w:p>
        </w:tc>
        <w:tc>
          <w:p>
            <w:pPr>
              <w:pStyle w:val="Compact"/>
              <w:jc w:val="right"/>
            </w:pPr>
            <w:r>
              <w:t xml:space="preserve">-0.017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this does and does not establish.</w:t>
      </w:r>
      <w:r>
        <w:t xml:space="preserve"> </w:t>
      </w:r>
      <w:r>
        <w:t xml:space="preserve">It establishes that no measured</w:t>
      </w:r>
      <w:r>
        <w:t xml:space="preserve"> </w:t>
      </w:r>
      <w:r>
        <w:t xml:space="preserve">difference separates the patients the models were scored on from the patients</w:t>
      </w:r>
      <w:r>
        <w:t xml:space="preserve"> </w:t>
      </w:r>
      <w:r>
        <w:t xml:space="preserve">they were trained on. The reported discrimination is therefore not an artifact</w:t>
      </w:r>
      <w:r>
        <w:t xml:space="preserve"> </w:t>
      </w:r>
      <w:r>
        <w:t xml:space="preserve">of an evaluation sample that differs on anything this table covers. It establishes nothing about</w:t>
      </w:r>
      <w:r>
        <w:t xml:space="preserve"> </w:t>
      </w:r>
      <w:r>
        <w:t xml:space="preserve">representativeness of any wider population. The delivered extract is</w:t>
      </w:r>
      <w:r>
        <w:t xml:space="preserve"> </w:t>
      </w:r>
      <w:r>
        <w:t xml:space="preserve">case-enriched by design (Methods,</w:t>
      </w:r>
      <w:r>
        <w:t xml:space="preserve"> </w:t>
      </w:r>
      <w:r>
        <w:rPr>
          <w:iCs/>
          <w:i/>
        </w:rPr>
        <w:t xml:space="preserve">Study design and data source</w:t>
      </w:r>
      <w:r>
        <w:t xml:space="preserve">), and both halves of the</w:t>
      </w:r>
      <w:r>
        <w:t xml:space="preserve"> </w:t>
      </w:r>
      <w:r>
        <w:t xml:space="preserve">split inherit that enrichment equally. A table comparing two halves of a</w:t>
      </w:r>
      <w:r>
        <w:t xml:space="preserve"> </w:t>
      </w:r>
      <w:r>
        <w:t xml:space="preserve">selected cohort cannot detect the selection they share. The calibration</w:t>
      </w:r>
      <w:r>
        <w:t xml:space="preserve"> </w:t>
      </w:r>
      <w:r>
        <w:t xml:space="preserve">reported in this paper remains calibration to this cohort’s own base rate, and</w:t>
      </w:r>
      <w:r>
        <w:t xml:space="preserve"> </w:t>
      </w:r>
      <w:r>
        <w:t xml:space="preserve">the limitation stands as written.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2026-09-08T19:38:32Z</dcterms:created>
  <dcterms:modified xsi:type="dcterms:W3CDTF">2026-09-08T19:38:32Z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