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Background.</w:t>
      </w:r>
      <w:r>
        <w:t xml:space="preserve"> </w:t>
      </w:r>
      <w:r>
        <w:t xml:space="preserve">As many as 1 in 3 patients with major depressive disorder (MDD) fail</w:t>
      </w:r>
      <w:r>
        <w:t xml:space="preserve"> </w:t>
      </w:r>
      <w:r>
        <w:t xml:space="preserve">successive antidepressant trials and progress to treatment-resistant depression (TRD)</w:t>
      </w:r>
      <w:r>
        <w:t xml:space="preserve"> </w:t>
      </w:r>
      <w:r>
        <w:t xml:space="preserve">[1]. That group carries a disproportionate share of the clinical and economic burden of</w:t>
      </w:r>
      <w:r>
        <w:t xml:space="preserve"> </w:t>
      </w:r>
      <w:r>
        <w:t xml:space="preserve">depression. Identifying those patients at the point of first treatment could support a</w:t>
      </w:r>
      <w:r>
        <w:t xml:space="preserve"> </w:t>
      </w:r>
      <w:r>
        <w:t xml:space="preserve">decision to escalate sooner. Two things are unsettled. Whether the structural elements</w:t>
      </w:r>
      <w:r>
        <w:t xml:space="preserve"> </w:t>
      </w:r>
      <w:r>
        <w:t xml:space="preserve">of an electronic health record (EHR) carry enough signal to do so at all. And whether a</w:t>
      </w:r>
      <w:r>
        <w:t xml:space="preserve"> </w:t>
      </w:r>
      <w:r>
        <w:t xml:space="preserve">pretrained transformer encoder extracts more of that signal than a transparent set of</w:t>
      </w:r>
      <w:r>
        <w:t xml:space="preserve"> </w:t>
      </w:r>
      <w:r>
        <w:t xml:space="preserve">coded fields does.</w:t>
      </w:r>
    </w:p>
    <w:p>
      <w:pPr>
        <w:pStyle w:val="BodyText"/>
      </w:pPr>
      <w:r>
        <w:rPr>
          <w:bCs/>
          <w:b/>
        </w:rPr>
        <w:t xml:space="preserve">Objective.</w:t>
      </w:r>
      <w:r>
        <w:t xml:space="preserve"> </w:t>
      </w:r>
      <w:r>
        <w:t xml:space="preserve">To measure how well EHR-derived patient representations predict a</w:t>
      </w:r>
      <w:r>
        <w:t xml:space="preserve"> </w:t>
      </w:r>
      <w:r>
        <w:t xml:space="preserve">treatment-switch-defined proxy for incident TRD at a patient’s index antidepressant</w:t>
      </w:r>
      <w:r>
        <w:t xml:space="preserve"> </w:t>
      </w:r>
      <w:r>
        <w:t xml:space="preserve">prescription. We compare a typed feature representation against a pretrained</w:t>
      </w:r>
      <w:r>
        <w:t xml:space="preserve"> </w:t>
      </w:r>
      <w:r>
        <w:t xml:space="preserve">transformer embedding of the same record.</w:t>
      </w:r>
    </w:p>
    <w:p>
      <w:pPr>
        <w:pStyle w:val="BodyText"/>
      </w:pPr>
      <w:r>
        <w:rPr>
          <w:bCs/>
          <w:b/>
        </w:rPr>
        <w:t xml:space="preserve">Methods.</w:t>
      </w:r>
      <w:r>
        <w:t xml:space="preserve"> </w:t>
      </w:r>
      <w:r>
        <w:t xml:space="preserve">We assembled a retrospective cohort of 42,579 adults with unipolar MDD from</w:t>
      </w:r>
      <w:r>
        <w:t xml:space="preserve"> </w:t>
      </w:r>
      <w:r>
        <w:t xml:space="preserve">one community health system, excluding bipolar and schizophrenia-spectrum diagnoses.</w:t>
      </w:r>
      <w:r>
        <w:t xml:space="preserve"> </w:t>
      </w:r>
      <w:r>
        <w:t xml:space="preserve">TRD was operationalised as three or more antidepressant treatments within one year of</w:t>
      </w:r>
      <w:r>
        <w:t xml:space="preserve"> </w:t>
      </w:r>
      <w:r>
        <w:t xml:space="preserve">the index date, following Forthman et al [20]. The index date is the earliest</w:t>
      </w:r>
      <w:r>
        <w:t xml:space="preserve"> </w:t>
      </w:r>
      <w:r>
        <w:t xml:space="preserve">antidepressant prescription recorded on or after a patient’s first documented</w:t>
      </w:r>
      <w:r>
        <w:t xml:space="preserve"> </w:t>
      </w:r>
      <w:r>
        <w:t xml:space="preserve">depression diagnosis. No property of the index depends on post-index data. Each record</w:t>
      </w:r>
      <w:r>
        <w:t xml:space="preserve"> </w:t>
      </w:r>
      <w:r>
        <w:t xml:space="preserve">was truncated at the index date and rendered two ways. The feature representation is a</w:t>
      </w:r>
      <w:r>
        <w:t xml:space="preserve"> </w:t>
      </w:r>
      <w:r>
        <w:t xml:space="preserve">typed vector of coded fields. The embedded representation is a Markdown narrative</w:t>
      </w:r>
      <w:r>
        <w:t xml:space="preserve"> </w:t>
      </w:r>
      <w:r>
        <w:t xml:space="preserve">written by fixed rules, with no generative model involved, encoded by a pretrained</w:t>
      </w:r>
      <w:r>
        <w:t xml:space="preserve"> </w:t>
      </w:r>
      <w:r>
        <w:t xml:space="preserve">sentence-transformer. Four encoders were evaluated 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is primary.</w:t>
      </w:r>
      <w:r>
        <w:t xml:space="preserve"> </w:t>
      </w:r>
      <w:r>
        <w:t xml:space="preserve">Four classifiers were tuned by cross-validated grid search on each representation:</w:t>
      </w:r>
      <w:r>
        <w:t xml:space="preserve"> </w:t>
      </w:r>
      <w:r>
        <w:t xml:space="preserve">logistic regression, random forest, gradient boosting, and XGBoost. All were evaluated</w:t>
      </w:r>
      <w:r>
        <w:t xml:space="preserve"> </w:t>
      </w:r>
      <w:r>
        <w:t xml:space="preserve">once, on a held-out stratified 20% split of 8,516 patients containing 1,491</w:t>
      </w:r>
      <w:r>
        <w:t xml:space="preserve"> </w:t>
      </w:r>
      <w:r>
        <w:t xml:space="preserve">TRD-positive cases. We also fitted a neighbour-weighted predictor on the embeddings.</w:t>
      </w:r>
      <w:r>
        <w:t xml:space="preserve"> </w:t>
      </w:r>
      <w:r>
        <w:t xml:space="preserve">To locate the signal, we permuted individual narrative concepts and re-scored. We</w:t>
      </w:r>
      <w:r>
        <w:t xml:space="preserve"> </w:t>
      </w:r>
      <w:r>
        <w:t xml:space="preserve">report discrimination, calibration, and a descriptive operating point with bootstrap</w:t>
      </w:r>
      <w:r>
        <w:t xml:space="preserve"> </w:t>
      </w:r>
      <w:r>
        <w:t xml:space="preserve">confidence intervals. The study follows TRIPOD+AI [10].</w:t>
      </w:r>
    </w:p>
    <w:p>
      <w:pPr>
        <w:pStyle w:val="BodyText"/>
      </w:pPr>
      <w:r>
        <w:rPr>
          <w:bCs/>
          <w:b/>
        </w:rPr>
        <w:t xml:space="preserve">Results.</w:t>
      </w:r>
      <w:r>
        <w:t xml:space="preserve"> </w:t>
      </w:r>
      <w:r>
        <w:t xml:space="preserve">Discrimination was modest, and neither representation was better than the</w:t>
      </w:r>
      <w:r>
        <w:t xml:space="preserve"> </w:t>
      </w:r>
      <w:r>
        <w:t xml:space="preserve">other. The best embedded model was logistic regression at ROC AUC 0.657 (95% CI</w:t>
      </w:r>
      <w:r>
        <w:t xml:space="preserve"> </w:t>
      </w:r>
      <w:r>
        <w:t xml:space="preserve">0.643-0.672). The best feature model was XGBoost at 0.649 (0.634-0.664). Their paired</w:t>
      </w:r>
      <w:r>
        <w:t xml:space="preserve"> </w:t>
      </w:r>
      <w:r>
        <w:t xml:space="preserve">difference was +0.008 (95% CI -0.003 to +0.019), an interval that includes zero. Holding</w:t>
      </w:r>
      <w:r>
        <w:t xml:space="preserve"> </w:t>
      </w:r>
      <w:r>
        <w:t xml:space="preserve">the classifier fixed tells a sharper story. The embedding helped logistic regression by</w:t>
      </w:r>
      <w:r>
        <w:t xml:space="preserve"> </w:t>
      </w:r>
      <w:r>
        <w:t xml:space="preserve">+0.028 (0.017 to 0.039) and hurt every tree ensemble, by -0.013 to -0.022. Representation</w:t>
      </w:r>
      <w:r>
        <w:t xml:space="preserve"> </w:t>
      </w:r>
      <w:r>
        <w:t xml:space="preserve">and learner are therefore not separable choices. Logistic regression was the strongest</w:t>
      </w:r>
      <w:r>
        <w:t xml:space="preserve"> </w:t>
      </w:r>
      <w:r>
        <w:t xml:space="preserve">embedded classifier under all four encoders, across a narrow band of 0.645 to 0.657,</w:t>
      </w:r>
      <w:r>
        <w:t xml:space="preserve"> </w:t>
      </w:r>
      <w:r>
        <w:t xml:space="preserve">and the smallest encoder trailed the largest by 0.013 despite using a tenth as many</w:t>
      </w:r>
      <w:r>
        <w:t xml:space="preserve"> </w:t>
      </w:r>
      <w:r>
        <w:t xml:space="preserve">dimensions. The fitted model was sparse: 385 of 4,096 coefficients were non-zero. The</w:t>
      </w:r>
      <w:r>
        <w:t xml:space="preserve"> </w:t>
      </w:r>
      <w:r>
        <w:t xml:space="preserve">neighbour-weighted predictor confirmed that the embedding space is organised around the</w:t>
      </w:r>
      <w:r>
        <w:t xml:space="preserve"> </w:t>
      </w:r>
      <w:r>
        <w:t xml:space="preserve">outcome. Nearest-neighbour retrieval reached 0.593, random retrieval 0.494 to 0.517, and</w:t>
      </w:r>
      <w:r>
        <w:t xml:space="preserve"> </w:t>
      </w:r>
      <w:r>
        <w:t xml:space="preserve">farthest-neighbour retrieval inverted to 0.434. All three stayed below the trained</w:t>
      </w:r>
      <w:r>
        <w:t xml:space="preserve"> </w:t>
      </w:r>
      <w:r>
        <w:t xml:space="preserve">classifiers. Permutation localised the signal to three concepts. Psychiatric history</w:t>
      </w:r>
      <w:r>
        <w:t xml:space="preserve"> </w:t>
      </w:r>
      <w:r>
        <w:t xml:space="preserve">cost -0.028 (-0.039 to -0.017), medication burden -0.027 (-0.037 to -0.018), and prior</w:t>
      </w:r>
      <w:r>
        <w:t xml:space="preserve"> </w:t>
      </w:r>
      <w:r>
        <w:t xml:space="preserve">treatment exposure -0.019 (-0.027 to -0.011). Permuting race, social determinants, or</w:t>
      </w:r>
      <w:r>
        <w:t xml:space="preserve"> </w:t>
      </w:r>
      <w:r>
        <w:t xml:space="preserve">treatment contraindications cost nothing measurable.</w:t>
      </w:r>
    </w:p>
    <w:p>
      <w:pPr>
        <w:pStyle w:val="BodyText"/>
      </w:pPr>
      <w:r>
        <w:rPr>
          <w:bCs/>
          <w:b/>
        </w:rPr>
        <w:t xml:space="preserve">Conclusions.</w:t>
      </w:r>
      <w:r>
        <w:t xml:space="preserve"> </w:t>
      </w:r>
      <w:r>
        <w:t xml:space="preserve">Structured EHR data carry a modest, real signal for a</w:t>
      </w:r>
      <w:r>
        <w:t xml:space="preserve"> </w:t>
      </w:r>
      <w:r>
        <w:t xml:space="preserve">treatment-switch-defined TRD proxy at the index antidepressant prescription. A</w:t>
      </w:r>
      <w:r>
        <w:t xml:space="preserve"> </w:t>
      </w:r>
      <w:r>
        <w:t xml:space="preserve">pretrained transformer embedding of a deterministic narrative matched a transparent</w:t>
      </w:r>
      <w:r>
        <w:t xml:space="preserve"> </w:t>
      </w:r>
      <w:r>
        <w:t xml:space="preserve">feature representation and did not beat it. Neither model’s predictions depended on its</w:t>
      </w:r>
      <w:r>
        <w:t xml:space="preserve"> </w:t>
      </w:r>
      <w:r>
        <w:t xml:space="preserve">race or social-determinant inputs, though we did not assess whether the outcome label</w:t>
      </w:r>
      <w:r>
        <w:t xml:space="preserve"> </w:t>
      </w:r>
      <w:r>
        <w:t xml:space="preserve">itself is equitable, so no fairness conclusion follows. At ROC AUC near 0.65 the models</w:t>
      </w:r>
      <w:r>
        <w:t xml:space="preserve"> </w:t>
      </w:r>
      <w:r>
        <w:t xml:space="preserve">are too weak for clinical use. Temporal and external validation would both be required</w:t>
      </w:r>
      <w:r>
        <w:t xml:space="preserve"> </w:t>
      </w:r>
      <w:r>
        <w:t xml:space="preserve">before any clinical role could be considered.</w:t>
      </w:r>
    </w:p>
    <w:bookmarkEnd w:id="20"/>
    <w:bookmarkStart w:id="2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Major depressive disorder is among the most prevalent and disabling medical conditions,</w:t>
      </w:r>
      <w:r>
        <w:t xml:space="preserve"> </w:t>
      </w:r>
      <w:r>
        <w:t xml:space="preserve">and antidepressant pharmacotherapy is its first-line treatment. A substantial minority</w:t>
      </w:r>
      <w:r>
        <w:t xml:space="preserve"> </w:t>
      </w:r>
      <w:r>
        <w:t xml:space="preserve">of patients never reach remission despite successive adequate trials. Those patients are</w:t>
      </w:r>
      <w:r>
        <w:t xml:space="preserve"> </w:t>
      </w:r>
      <w:r>
        <w:t xml:space="preserve">described as having treatment-resistant depression, most commonly operationalised as</w:t>
      </w:r>
      <w:r>
        <w:t xml:space="preserve"> </w:t>
      </w:r>
      <w:r>
        <w:t xml:space="preserve">failure of at least two antidepressant trials at adequate dose and duration [2]. The</w:t>
      </w:r>
      <w:r>
        <w:t xml:space="preserve"> </w:t>
      </w:r>
      <w:r>
        <w:t xml:space="preserve">sequential-treatment literature anchored by STAR*D established why that matters:</w:t>
      </w:r>
      <w:r>
        <w:t xml:space="preserve"> </w:t>
      </w:r>
      <w:r>
        <w:t xml:space="preserve">remission rates fall sharply at each successive step, so a patient entering a third or</w:t>
      </w:r>
      <w:r>
        <w:t xml:space="preserve"> </w:t>
      </w:r>
      <w:r>
        <w:t xml:space="preserve">fourth step faces a markedly lower chance of recovery [3]. TRD accordingly accounts for</w:t>
      </w:r>
      <w:r>
        <w:t xml:space="preserve"> </w:t>
      </w:r>
      <w:r>
        <w:t xml:space="preserve">a disproportionate share of the morbidity, functional impairment and cost attributable</w:t>
      </w:r>
      <w:r>
        <w:t xml:space="preserve"> </w:t>
      </w:r>
      <w:r>
        <w:t xml:space="preserve">to depression [1].</w:t>
      </w:r>
    </w:p>
    <w:p>
      <w:pPr>
        <w:pStyle w:val="BodyText"/>
      </w:pPr>
      <w:r>
        <w:t xml:space="preserve">The escalation options all become less likely to work as resistance develops.</w:t>
      </w:r>
      <w:r>
        <w:t xml:space="preserve"> </w:t>
      </w:r>
      <w:r>
        <w:t xml:space="preserve">Augmentation, combination, switching class, and neuromodulation are each more necessary</w:t>
      </w:r>
      <w:r>
        <w:t xml:space="preserve"> </w:t>
      </w:r>
      <w:r>
        <w:t xml:space="preserve">and less effective the later they arrive. That asymmetry is the reason for a long</w:t>
      </w:r>
      <w:r>
        <w:t xml:space="preserve"> </w:t>
      </w:r>
      <w:r>
        <w:t xml:space="preserve">interest in identifying high-risk patients early. A patient flagged at their index</w:t>
      </w:r>
      <w:r>
        <w:t xml:space="preserve"> </w:t>
      </w:r>
      <w:r>
        <w:t xml:space="preserve">antidepressant prescription could in principle be monitored more closely and escalated</w:t>
      </w:r>
      <w:r>
        <w:t xml:space="preserve"> </w:t>
      </w:r>
      <w:r>
        <w:t xml:space="preserve">sooner, which is the clinical use such a model would have.</w:t>
      </w:r>
    </w:p>
    <w:p>
      <w:pPr>
        <w:pStyle w:val="BodyText"/>
      </w:pPr>
      <w:r>
        <w:t xml:space="preserve">An electronic health record (EHR) rarely records standardised symptom change or treatment</w:t>
      </w:r>
      <w:r>
        <w:t xml:space="preserve"> </w:t>
      </w:r>
      <w:r>
        <w:t xml:space="preserve">adequacy. Studies therefore operationalise TRD from observable medication trajectories</w:t>
      </w:r>
      <w:r>
        <w:t xml:space="preserve"> </w:t>
      </w:r>
      <w:r>
        <w:t xml:space="preserve">instead. These computable phenotypes make large-scale analysis possible, and they are</w:t>
      </w:r>
      <w:r>
        <w:t xml:space="preserve"> </w:t>
      </w:r>
      <w:r>
        <w:t xml:space="preserve">not the same thing as symptom-confirmed non-response. Varying the operational rules</w:t>
      </w:r>
      <w:r>
        <w:t xml:space="preserve"> </w:t>
      </w:r>
      <w:r>
        <w:t xml:space="preserve">materially changes both TRD prevalence and cohort composition [25-27]. Any result</w:t>
      </w:r>
      <w:r>
        <w:t xml:space="preserve"> </w:t>
      </w:r>
      <w:r>
        <w:t xml:space="preserve">obtained against such a label is a result about the label as much as about the illness.</w:t>
      </w:r>
    </w:p>
    <w:p>
      <w:pPr>
        <w:pStyle w:val="BodyText"/>
      </w:pPr>
      <w:r>
        <w:t xml:space="preserve">Structural EHR elements do encode illness burden and care pathway. Early models built</w:t>
      </w:r>
      <w:r>
        <w:t xml:space="preserve"> </w:t>
      </w:r>
      <w:r>
        <w:t xml:space="preserve">from demographics, utilisation and history reported high internal discrimination, at</w:t>
      </w:r>
      <w:r>
        <w:t xml:space="preserve"> </w:t>
      </w:r>
      <w:r>
        <w:t xml:space="preserve">ROC AUC 0.83 [28]. Independent external validation of that class of model is more</w:t>
      </w:r>
      <w:r>
        <w:t xml:space="preserve"> </w:t>
      </w:r>
      <w:r>
        <w:t xml:space="preserve">conservative, at 0.652 [29]. Adding clinical notes raises performance to 0.728, and</w:t>
      </w:r>
      <w:r>
        <w:t xml:space="preserve"> </w:t>
      </w:r>
      <w:r>
        <w:t xml:space="preserve">adding neuroimaging raises it further [30]. Tabular data are informative, in other</w:t>
      </w:r>
      <w:r>
        <w:t xml:space="preserve"> </w:t>
      </w:r>
      <w:r>
        <w:t xml:space="preserve">words, and they benefit from multimodal integration. A multi-system evaluation</w:t>
      </w:r>
      <w:r>
        <w:t xml:space="preserve"> </w:t>
      </w:r>
      <w:r>
        <w:t xml:space="preserve">nevertheless found poor external generalisation, at ROC AUC 0.51 to 0.58 [31].</w:t>
      </w:r>
    </w:p>
    <w:p>
      <w:pPr>
        <w:pStyle w:val="BodyText"/>
      </w:pPr>
      <w:r>
        <w:t xml:space="preserve">That gap between internal and external performance points at a specific methodological</w:t>
      </w:r>
      <w:r>
        <w:t xml:space="preserve"> </w:t>
      </w:r>
      <w:r>
        <w:t xml:space="preserve">vulnerability. A model can reconstruct the operationalised treatment-history label</w:t>
      </w:r>
      <w:r>
        <w:t xml:space="preserve"> </w:t>
      </w:r>
      <w:r>
        <w:t xml:space="preserve">rather than identify a distinct liability to resistance, and it will do so whenever</w:t>
      </w:r>
      <w:r>
        <w:t xml:space="preserve"> </w:t>
      </w:r>
      <w:r>
        <w:t xml:space="preserve">temporal separation between the prediction index and the forecast window is not</w:t>
      </w:r>
      <w:r>
        <w:t xml:space="preserve"> </w:t>
      </w:r>
      <w:r>
        <w:t xml:space="preserve">enforced [25,27,28,31]. Structural EHR features are therefore candidates for risk</w:t>
      </w:r>
      <w:r>
        <w:t xml:space="preserve"> </w:t>
      </w:r>
      <w:r>
        <w:t xml:space="preserve">stratification rather than deployable tools. A credible model has to enforce that</w:t>
      </w:r>
      <w:r>
        <w:t xml:space="preserve"> </w:t>
      </w:r>
      <w:r>
        <w:t xml:space="preserve">separation, evaluate transportability, test whether structural features beat simpler</w:t>
      </w:r>
      <w:r>
        <w:t xml:space="preserve"> </w:t>
      </w:r>
      <w:r>
        <w:t xml:space="preserve">medication rules, and keep the distinction between a computable proxy and verified</w:t>
      </w:r>
      <w:r>
        <w:t xml:space="preserve"> </w:t>
      </w:r>
      <w:r>
        <w:t xml:space="preserve">non-response visible throughout [27,29-31].</w:t>
      </w:r>
    </w:p>
    <w:p>
      <w:pPr>
        <w:pStyle w:val="BodyText"/>
      </w:pPr>
      <w:r>
        <w:t xml:space="preserve">Two considerations motivate this study. The first is the representational capacity of</w:t>
      </w:r>
      <w:r>
        <w:t xml:space="preserve"> </w:t>
      </w:r>
      <w:r>
        <w:t xml:space="preserve">generalised pretrained transformer embeddings. Purpose-built EHR foundation models</w:t>
      </w:r>
      <w:r>
        <w:t xml:space="preserve"> </w:t>
      </w:r>
      <w:r>
        <w:t xml:space="preserve">demand data and compute at a scale most groups cannot reach [21,22]. Serialising a</w:t>
      </w:r>
      <w:r>
        <w:t xml:space="preserve"> </w:t>
      </w:r>
      <w:r>
        <w:t xml:space="preserve">record into text and embedding it with a general-purpose language model is a cheap</w:t>
      </w:r>
      <w:r>
        <w:t xml:space="preserve"> </w:t>
      </w:r>
      <w:r>
        <w:t xml:space="preserve">alternative, and it has proved competitive across clinical prediction tasks [9]. It has</w:t>
      </w:r>
      <w:r>
        <w:t xml:space="preserve"> </w:t>
      </w:r>
      <w:r>
        <w:t xml:space="preserve">not been compared directly against a transparent feature representation for TRD</w:t>
      </w:r>
      <w:r>
        <w:t xml:space="preserve"> </w:t>
      </w:r>
      <w:r>
        <w:t xml:space="preserve">prediction. Nor has anyone asked whether its predictive signal rests on clinically</w:t>
      </w:r>
      <w:r>
        <w:t xml:space="preserve"> </w:t>
      </w:r>
      <w:r>
        <w:t xml:space="preserve">appropriate content. The second consideration is appraisal. We report this study in full</w:t>
      </w:r>
      <w:r>
        <w:t xml:space="preserve"> </w:t>
      </w:r>
      <w:r>
        <w:t xml:space="preserve">accordance with TRIPOD+AI, the reporting guideline for prediction models developed with</w:t>
      </w:r>
      <w:r>
        <w:t xml:space="preserve"> </w:t>
      </w:r>
      <w:r>
        <w:t xml:space="preserve">regression or machine-learning methods [10].</w:t>
      </w:r>
    </w:p>
    <w:p>
      <w:pPr>
        <w:pStyle w:val="BodyText"/>
      </w:pPr>
      <w:r>
        <w:t xml:space="preserve">This study asked whether EHR-derived patient data predict an EHR-operationalised</w:t>
      </w:r>
      <w:r>
        <w:t xml:space="preserve"> </w:t>
      </w:r>
      <w:r>
        <w:t xml:space="preserve">definition of TRD within one year. It addressed three objectives in sequence. First, we</w:t>
      </w:r>
      <w:r>
        <w:t xml:space="preserve"> </w:t>
      </w:r>
      <w:r>
        <w:t xml:space="preserve">compared a typed feature representation against an embedded representation of the same</w:t>
      </w:r>
      <w:r>
        <w:t xml:space="preserve"> </w:t>
      </w:r>
      <w:r>
        <w:t xml:space="preserve">records, evaluating both with four standard classifiers on one cohort and one held-out</w:t>
      </w:r>
      <w:r>
        <w:t xml:space="preserve"> </w:t>
      </w:r>
      <w:r>
        <w:t xml:space="preserve">split. Second, we tested how far that comparison depends on the encoder, using four</w:t>
      </w:r>
      <w:r>
        <w:t xml:space="preserve"> </w:t>
      </w:r>
      <w:r>
        <w:t xml:space="preserve">sentence-transformers, and examined the geometry of the resulting space with a</w:t>
      </w:r>
      <w:r>
        <w:t xml:space="preserve"> </w:t>
      </w:r>
      <w:r>
        <w:t xml:space="preserve">neighbour-weighted predictor. Third, we located the predictive signal by permuting</w:t>
      </w:r>
      <w:r>
        <w:t xml:space="preserve"> </w:t>
      </w:r>
      <w:r>
        <w:t xml:space="preserve">individual clinical concepts and re-scoring. That third objective is the one that</w:t>
      </w:r>
      <w:r>
        <w:t xml:space="preserve"> </w:t>
      </w:r>
      <w:r>
        <w:t xml:space="preserve">establishes clinical plausibility: it asks whether the models rely on coherent clinical</w:t>
      </w:r>
      <w:r>
        <w:t xml:space="preserve"> </w:t>
      </w:r>
      <w:r>
        <w:t xml:space="preserve">content rather than on sociodemographic variables. Passing it is necessary for equitable</w:t>
      </w:r>
      <w:r>
        <w:t xml:space="preserve"> </w:t>
      </w:r>
      <w:r>
        <w:t xml:space="preserve">performance and it is not sufficient.</w:t>
      </w:r>
    </w:p>
    <w:bookmarkEnd w:id="21"/>
    <w:bookmarkStart w:id="31" w:name="methods"/>
    <w:p>
      <w:pPr>
        <w:pStyle w:val="Heading1"/>
      </w:pPr>
      <w:r>
        <w:t xml:space="preserve">Methods</w:t>
      </w:r>
    </w:p>
    <w:bookmarkStart w:id="22" w:name="study-design-and-data-source"/>
    <w:p>
      <w:pPr>
        <w:pStyle w:val="Heading2"/>
      </w:pPr>
      <w:r>
        <w:t xml:space="preserve">Study design and data source</w:t>
      </w:r>
    </w:p>
    <w:p>
      <w:pPr>
        <w:pStyle w:val="FirstParagraph"/>
      </w:pPr>
      <w:r>
        <w:t xml:space="preserve">We conducted a retrospective cohort study on a frozen, de-identified extract from the</w:t>
      </w:r>
      <w:r>
        <w:t xml:space="preserve"> </w:t>
      </w:r>
      <w:r>
        <w:t xml:space="preserve">Epic EHR of Saint Francis Health System, a community health system in Tulsa, Oklahoma.</w:t>
      </w:r>
      <w:r>
        <w:t xml:space="preserve"> </w:t>
      </w:r>
      <w:r>
        <w:t xml:space="preserve">The extract carried person, encounter, diagnosis, medication, procedure,</w:t>
      </w:r>
      <w:r>
        <w:t xml:space="preserve"> </w:t>
      </w:r>
      <w:r>
        <w:t xml:space="preserve">laboratory and flowsheet, and medication-to-RxNorm mapping tables. Patient and encounter</w:t>
      </w:r>
      <w:r>
        <w:t xml:space="preserve"> </w:t>
      </w:r>
      <w:r>
        <w:t xml:space="preserve">identifiers were replaced with one-way hashes before transfer. No direct identifiers and</w:t>
      </w:r>
      <w:r>
        <w:t xml:space="preserve"> </w:t>
      </w:r>
      <w:r>
        <w:t xml:space="preserve">no dates of birth were provided.</w:t>
      </w:r>
    </w:p>
    <w:p>
      <w:pPr>
        <w:pStyle w:val="BodyText"/>
      </w:pPr>
      <w:r>
        <w:t xml:space="preserve">The extract is case-enriched rather than a census, and that shapes what its proportions</w:t>
      </w:r>
      <w:r>
        <w:t xml:space="preserve"> </w:t>
      </w:r>
      <w:r>
        <w:t xml:space="preserve">mean. Every patient with a depression code on the problem list was retained, alongside a</w:t>
      </w:r>
      <w:r>
        <w:t xml:space="preserve"> </w:t>
      </w:r>
      <w:r>
        <w:t xml:space="preserve">random sample of unflagged patients at roughly 4:1. The extract held 501,718 patients:</w:t>
      </w:r>
      <w:r>
        <w:t xml:space="preserve"> </w:t>
      </w:r>
      <w:r>
        <w:t xml:space="preserve">100,420 (20.0%) with a problem-list depression flag and 401,298 (80.0%) without.</w:t>
      </w:r>
      <w:r>
        <w:t xml:space="preserve"> </w:t>
      </w:r>
      <w:r>
        <w:t xml:space="preserve">Eligibility for the analytic cohort was decided from encounter-level diagnoses rather</w:t>
      </w:r>
      <w:r>
        <w:t xml:space="preserve"> </w:t>
      </w:r>
      <w:r>
        <w:t xml:space="preserve">than from that sampling flag, so 12,530 of the 42,579 eligible patients (29.4%) entered</w:t>
      </w:r>
      <w:r>
        <w:t xml:space="preserve"> </w:t>
      </w:r>
      <w:r>
        <w:t xml:space="preserve">through the random arm. Cohort proportions therefore describe this enriched sample and</w:t>
      </w:r>
      <w:r>
        <w:t xml:space="preserve"> </w:t>
      </w:r>
      <w:r>
        <w:t xml:space="preserve">are not health-system prevalence estimates. The head-to-head comparison is unaffected,</w:t>
      </w:r>
      <w:r>
        <w:t xml:space="preserve"> </w:t>
      </w:r>
      <w:r>
        <w:t xml:space="preserve">because both representations come from the same patients and are scored on the same</w:t>
      </w:r>
      <w:r>
        <w:t xml:space="preserve"> </w:t>
      </w:r>
      <w:r>
        <w:t xml:space="preserve">held-out split.</w:t>
      </w:r>
    </w:p>
    <w:p>
      <w:pPr>
        <w:pStyle w:val="BodyText"/>
      </w:pPr>
      <w:r>
        <w:t xml:space="preserve">All analyses used data version DV260629v1 and patient version PV260710v1. Source files</w:t>
      </w:r>
      <w:r>
        <w:t xml:space="preserve"> </w:t>
      </w:r>
      <w:r>
        <w:t xml:space="preserve">were cut on June 29, 2026 and analysis-ready tables were built on July 10, 2026. No</w:t>
      </w:r>
      <w:r>
        <w:t xml:space="preserve"> </w:t>
      </w:r>
      <w:r>
        <w:t xml:space="preserve">later refresh entered the study. Index dates span 2016 to 2024. This is a random</w:t>
      </w:r>
      <w:r>
        <w:t xml:space="preserve"> </w:t>
      </w:r>
      <w:r>
        <w:t xml:space="preserve">internal validation split from one source and one period, which is neither temporal nor</w:t>
      </w:r>
      <w:r>
        <w:t xml:space="preserve"> </w:t>
      </w:r>
      <w:r>
        <w:t xml:space="preserve">external validation. Supplement M1-M2 gives the source tables, setting, sampling frame,</w:t>
      </w:r>
      <w:r>
        <w:t xml:space="preserve"> </w:t>
      </w:r>
      <w:r>
        <w:t xml:space="preserve">diagnosis code sets and data versions.</w:t>
      </w:r>
    </w:p>
    <w:bookmarkEnd w:id="22"/>
    <w:bookmarkStart w:id="23" w:name="X83afcff3e3b9f2fb02c20597f24db50fc4d8393"/>
    <w:p>
      <w:pPr>
        <w:pStyle w:val="Heading2"/>
      </w:pPr>
      <w:r>
        <w:t xml:space="preserve">Participants, index date, and temporal windows</w:t>
      </w:r>
    </w:p>
    <w:p>
      <w:pPr>
        <w:pStyle w:val="FirstParagraph"/>
      </w:pPr>
      <w:r>
        <w:t xml:space="preserve">Patients entered the cohort on six criteria. They needed a qualifying MDD diagnosis, no</w:t>
      </w:r>
      <w:r>
        <w:t xml:space="preserve"> </w:t>
      </w:r>
      <w:r>
        <w:t xml:space="preserve">bipolar or schizophrenia-spectrum diagnosis, an eligible antidepressant index</w:t>
      </w:r>
      <w:r>
        <w:t xml:space="preserve"> </w:t>
      </w:r>
      <w:r>
        <w:t xml:space="preserve">prescription, an MDD diagnosis on or before that prescription, at least 730 days of</w:t>
      </w:r>
      <w:r>
        <w:t xml:space="preserve"> </w:t>
      </w:r>
      <w:r>
        <w:t xml:space="preserve">pre-index history, and at least 365 days of post-index follow-up. Those criteria yielded</w:t>
      </w:r>
      <w:r>
        <w:t xml:space="preserve"> </w:t>
      </w:r>
      <w:r>
        <w:t xml:space="preserve">42,579 patients. Supplement M2 reports the full cascade and every rejection reason.</w:t>
      </w:r>
    </w:p>
    <w:p>
      <w:pPr>
        <w:pStyle w:val="BodyText"/>
      </w:pPr>
      <w:r>
        <w:t xml:space="preserve">The index date is the start date of the earliest antidepressant prescription recorded on</w:t>
      </w:r>
      <w:r>
        <w:t xml:space="preserve"> </w:t>
      </w:r>
      <w:r>
        <w:t xml:space="preserve">or after a patient’s first documented depression diagnosis. Each patient contributes one.</w:t>
      </w:r>
      <w:r>
        <w:t xml:space="preserve"> </w:t>
      </w:r>
      <w:r>
        <w:t xml:space="preserve">The prediction point coincides with the prescription date, and index eligibility depends</w:t>
      </w:r>
      <w:r>
        <w:t xml:space="preserve"> </w:t>
      </w:r>
      <w:r>
        <w:t xml:space="preserve">on no subsequent dose, duration, response or treatment change. Predictors were computed</w:t>
      </w:r>
      <w:r>
        <w:t xml:space="preserve"> </w:t>
      </w:r>
      <w:r>
        <w:t xml:space="preserve">only inside the 730-day lookback window ending at the index date. Post-index data enters</w:t>
      </w:r>
      <w:r>
        <w:t xml:space="preserve"> </w:t>
      </w:r>
      <w:r>
        <w:t xml:space="preserve">in exactly two places: confirming 365 days of follow-up, and ascertaining the outcome</w:t>
      </w:r>
      <w:r>
        <w:t xml:space="preserve"> </w:t>
      </w:r>
      <w:r>
        <w:t xml:space="preserve">across those days. Prior antidepressant exposure was kept as a predictor rather than used</w:t>
      </w:r>
      <w:r>
        <w:t xml:space="preserve"> </w:t>
      </w:r>
      <w:r>
        <w:t xml:space="preserve">as an exclusion, so the index prescription is the first antidepressant linked to a</w:t>
      </w:r>
      <w:r>
        <w:t xml:space="preserve"> </w:t>
      </w:r>
      <w:r>
        <w:t xml:space="preserve">documented depression diagnosis in the available record. It is not necessarily a</w:t>
      </w:r>
      <w:r>
        <w:t xml:space="preserve"> </w:t>
      </w:r>
      <w:r>
        <w:t xml:space="preserve">patient’s first lifetime exposure or first adequate trial. Figure 1 shows the temporal</w:t>
      </w:r>
      <w:r>
        <w:t xml:space="preserve"> </w:t>
      </w:r>
      <w:r>
        <w:t xml:space="preserve">design and Supplement M2 gives the index-selection rules.</w:t>
      </w:r>
    </w:p>
    <w:bookmarkEnd w:id="23"/>
    <w:bookmarkStart w:id="24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The prediction target is a predefined EHR proxy for incident TRD, generated upstream and</w:t>
      </w:r>
      <w:r>
        <w:t xml:space="preserve"> </w:t>
      </w:r>
      <w:r>
        <w:t xml:space="preserve">used without modification. Following the operational definition of Forthman et al [20],</w:t>
      </w:r>
      <w:r>
        <w:t xml:space="preserve"> </w:t>
      </w:r>
      <w:r>
        <w:t xml:space="preserve">a patient with MDD is TRD-positive if they received at least 3 distinct antidepressant</w:t>
      </w:r>
      <w:r>
        <w:t xml:space="preserve"> </w:t>
      </w:r>
      <w:r>
        <w:t xml:space="preserve">treatments during the 365 days after the index date, counting the index agent as the</w:t>
      </w:r>
      <w:r>
        <w:t xml:space="preserve"> </w:t>
      </w:r>
      <w:r>
        <w:t xml:space="preserve">first. That is equivalent to requiring at least 2 post-index changes. A treatment is a</w:t>
      </w:r>
      <w:r>
        <w:t xml:space="preserve"> </w:t>
      </w:r>
      <w:r>
        <w:t xml:space="preserve">distinct agent rather than a prescribing event. Augmentation without replacement does not</w:t>
      </w:r>
      <w:r>
        <w:t xml:space="preserve"> </w:t>
      </w:r>
      <w:r>
        <w:t xml:space="preserve">increment the count, and neither does restarting a previously used agent. Augmentation</w:t>
      </w:r>
      <w:r>
        <w:t xml:space="preserve"> </w:t>
      </w:r>
      <w:r>
        <w:t xml:space="preserve">instead enters the study as a pre-index predictor.</w:t>
      </w:r>
    </w:p>
    <w:p>
      <w:pPr>
        <w:pStyle w:val="BodyText"/>
      </w:pPr>
      <w:r>
        <w:t xml:space="preserve">This is a treatment-switch proxy and not direct evidence of inadequate response to 2</w:t>
      </w:r>
      <w:r>
        <w:t xml:space="preserve"> </w:t>
      </w:r>
      <w:r>
        <w:t xml:space="preserve">adequate trials [2,3]. Symptom response was not systematically available, and neither</w:t>
      </w:r>
      <w:r>
        <w:t xml:space="preserve"> </w:t>
      </w:r>
      <w:r>
        <w:t xml:space="preserve">dose nor duration adequacy was verified for the counted treatments. A switch may reflect</w:t>
      </w:r>
      <w:r>
        <w:t xml:space="preserve"> </w:t>
      </w:r>
      <w:r>
        <w:t xml:space="preserve">non-response. It may equally reflect intolerance, adverse effects, cost, insurance</w:t>
      </w:r>
      <w:r>
        <w:t xml:space="preserve"> </w:t>
      </w:r>
      <w:r>
        <w:t xml:space="preserve">constraints, fragmented care, patient preference or prescriber habit. It also depends on</w:t>
      </w:r>
      <w:r>
        <w:t xml:space="preserve"> </w:t>
      </w:r>
      <w:r>
        <w:t xml:space="preserve">continuity of care and access, both of which differ across demographic groups [18,19].</w:t>
      </w:r>
      <w:r>
        <w:t xml:space="preserve"> </w:t>
      </w:r>
      <w:r>
        <w:t xml:space="preserve">The label was never validated against chart review or a standardised symptom measure.</w:t>
      </w:r>
      <w:r>
        <w:t xml:space="preserve"> </w:t>
      </w:r>
      <w:r>
        <w:t xml:space="preserve">Supplement M3 sets out these inferential boundaries and the validation analyses we</w:t>
      </w:r>
      <w:r>
        <w:t xml:space="preserve"> </w:t>
      </w:r>
      <w:r>
        <w:t xml:space="preserve">propose.</w:t>
      </w:r>
    </w:p>
    <w:bookmarkEnd w:id="24"/>
    <w:bookmarkStart w:id="25" w:name="predictors-and-patient-representations"/>
    <w:p>
      <w:pPr>
        <w:pStyle w:val="Heading2"/>
      </w:pPr>
      <w:r>
        <w:t xml:space="preserve">Predictors and patient representations</w:t>
      </w:r>
    </w:p>
    <w:p>
      <w:pPr>
        <w:pStyle w:val="FirstParagraph"/>
      </w:pPr>
      <w:r>
        <w:t xml:space="preserve">Predictors were specified a priori, on clinical and prior-literature grounds, before any</w:t>
      </w:r>
      <w:r>
        <w:t xml:space="preserve"> </w:t>
      </w:r>
      <w:r>
        <w:t xml:space="preserve">model was fitted and before any outcome association was inspected. The domains are</w:t>
      </w:r>
      <w:r>
        <w:t xml:space="preserve"> </w:t>
      </w:r>
      <w:r>
        <w:t xml:space="preserve">depression characteristics, psychiatric and substance-use comorbidity, medical</w:t>
      </w:r>
      <w:r>
        <w:t xml:space="preserve"> </w:t>
      </w:r>
      <w:r>
        <w:t xml:space="preserve">comorbidity, prior antidepressant exposure and medication burden, prescribing</w:t>
      </w:r>
      <w:r>
        <w:t xml:space="preserve"> </w:t>
      </w:r>
      <w:r>
        <w:t xml:space="preserve">constraints, health-care utilisation, and sociodemographic and social-determinant</w:t>
      </w:r>
      <w:r>
        <w:t xml:space="preserve"> </w:t>
      </w:r>
      <w:r>
        <w:t xml:space="preserve">variables [4-7]. Only structured EHR fields available inside the pre-index window were</w:t>
      </w:r>
      <w:r>
        <w:t xml:space="preserve"> </w:t>
      </w:r>
      <w:r>
        <w:t xml:space="preserve">used. Supplement M4 gives the selection rationale and Multimedia Appendix 1 the complete</w:t>
      </w:r>
      <w:r>
        <w:t xml:space="preserve"> </w:t>
      </w:r>
      <w:r>
        <w:t xml:space="preserve">inventory.</w:t>
      </w:r>
    </w:p>
    <w:p>
      <w:pPr>
        <w:pStyle w:val="BodyText"/>
      </w:pPr>
      <w:r>
        <w:t xml:space="preserve">Each patient’s timeline-sliced record was converted independently into two</w:t>
      </w:r>
      <w:r>
        <w:t xml:space="preserve"> </w:t>
      </w:r>
      <w:r>
        <w:t xml:space="preserve">representations. The feature representation assigns explicit data types to continuous</w:t>
      </w:r>
      <w:r>
        <w:t xml:space="preserve"> </w:t>
      </w:r>
      <w:r>
        <w:t xml:space="preserve">variables, to binary and multilabel indicators, and to nominal categorical variables.</w:t>
      </w:r>
      <w:r>
        <w:t xml:space="preserve"> </w:t>
      </w:r>
      <w:r>
        <w:t xml:space="preserve">Its continuous variables include age, utilisation and duration measures, medication</w:t>
      </w:r>
      <w:r>
        <w:t xml:space="preserve"> </w:t>
      </w:r>
      <w:r>
        <w:t xml:space="preserve">burden, and counts of adequate antidepressant trials, where an adequate trial is at</w:t>
      </w:r>
      <w:r>
        <w:t xml:space="preserve"> </w:t>
      </w:r>
      <w:r>
        <w:t xml:space="preserve">least 42 days of continuous exposure to one agent. After categorical expansion, and</w:t>
      </w:r>
      <w:r>
        <w:t xml:space="preserve"> </w:t>
      </w:r>
      <w:r>
        <w:t xml:space="preserve">after excluding 3 vital-sign variables for missingness, the feature matrix holds 92</w:t>
      </w:r>
      <w:r>
        <w:t xml:space="preserve"> </w:t>
      </w:r>
      <w:r>
        <w:t xml:space="preserve">columns.</w:t>
      </w:r>
    </w:p>
    <w:p>
      <w:pPr>
        <w:pStyle w:val="BodyText"/>
      </w:pPr>
      <w:r>
        <w:t xml:space="preserve">The embedded representation renders the same pre-index record as a human-readable</w:t>
      </w:r>
      <w:r>
        <w:t xml:space="preserve"> </w:t>
      </w:r>
      <w:r>
        <w:t xml:space="preserve">Markdown narrative and encodes it as a fixed-length dense vector. Narrative construction</w:t>
      </w:r>
      <w:r>
        <w:t xml:space="preserve"> </w:t>
      </w:r>
      <w:r>
        <w:t xml:space="preserve">uses predefined rules and no generative model, so every statement is traceable to the</w:t>
      </w:r>
      <w:r>
        <w:t xml:space="preserve"> </w:t>
      </w:r>
      <w:r>
        <w:t xml:space="preserve">structured record. That guarantee costs fluency and is worth it, because a generated</w:t>
      </w:r>
      <w:r>
        <w:t xml:space="preserve"> </w:t>
      </w:r>
      <w:r>
        <w:t xml:space="preserve">summary introduces statements the record does not support at measured rates [23] and</w:t>
      </w:r>
      <w:r>
        <w:t xml:space="preserve"> </w:t>
      </w:r>
      <w:r>
        <w:t xml:space="preserve">here the narrative is the predictor. Four pretrained sentence-transformer encoders were</w:t>
      </w:r>
      <w:r>
        <w:t xml:space="preserve"> </w:t>
      </w:r>
      <w:r>
        <w:t xml:space="preserve">evaluated independently: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[12],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[13],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[14].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is the primary</w:t>
      </w:r>
      <w:r>
        <w:t xml:space="preserve"> </w:t>
      </w:r>
      <w:r>
        <w:t xml:space="preserve">encoder. The two representations come from the same temporal slice and do not hold</w:t>
      </w:r>
      <w:r>
        <w:t xml:space="preserve"> </w:t>
      </w:r>
      <w:r>
        <w:t xml:space="preserve">identical field inventories, so a head-to-head comparison estimates the performance of</w:t>
      </w:r>
      <w:r>
        <w:t xml:space="preserve"> </w:t>
      </w:r>
      <w:r>
        <w:t xml:space="preserve">two complete pipelines rather than the isolated effect of data format. Supplement S11 is</w:t>
      </w:r>
      <w:r>
        <w:t xml:space="preserve"> </w:t>
      </w:r>
      <w:r>
        <w:t xml:space="preserve">the field-level crosswalk, Supplement M5 the encoding rules, and Supplement S6 two</w:t>
      </w:r>
      <w:r>
        <w:t xml:space="preserve"> </w:t>
      </w:r>
      <w:r>
        <w:t xml:space="preserve">example narratives.</w:t>
      </w:r>
    </w:p>
    <w:bookmarkEnd w:id="25"/>
    <w:bookmarkStart w:id="26" w:name="missing-data-and-sample-partition"/>
    <w:p>
      <w:pPr>
        <w:pStyle w:val="Heading2"/>
      </w:pPr>
      <w:r>
        <w:t xml:space="preserve">Missing data and sample partition</w:t>
      </w:r>
    </w:p>
    <w:p>
      <w:pPr>
        <w:pStyle w:val="FirstParagraph"/>
      </w:pPr>
      <w:r>
        <w:t xml:space="preserve">No statistical imputation was performed. Mean body mass index and mean systolic and</w:t>
      </w:r>
      <w:r>
        <w:t xml:space="preserve"> </w:t>
      </w:r>
      <w:r>
        <w:t xml:space="preserve">diastolic blood pressure were excluded for substantial, outcome-associated missingness.</w:t>
      </w:r>
      <w:r>
        <w:t xml:space="preserve"> </w:t>
      </w:r>
      <w:r>
        <w:t xml:space="preserve">Missing categorical values were kept as an explicit category in the feature</w:t>
      </w:r>
      <w:r>
        <w:t xml:space="preserve"> </w:t>
      </w:r>
      <w:r>
        <w:t xml:space="preserve">representation and as the literal token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in the embedded representation. No</w:t>
      </w:r>
      <w:r>
        <w:t xml:space="preserve"> </w:t>
      </w:r>
      <w:r>
        <w:t xml:space="preserve">missing continuous value reached an estimator. Supplement M6 gives the missingness</w:t>
      </w:r>
      <w:r>
        <w:t xml:space="preserve"> </w:t>
      </w:r>
      <w:r>
        <w:t xml:space="preserve">frequencies and the rationale.</w:t>
      </w:r>
    </w:p>
    <w:p>
      <w:pPr>
        <w:pStyle w:val="BodyText"/>
      </w:pPr>
      <w:r>
        <w:t xml:space="preserve">We created one stratified 80:20 train-test split and used it for every evaluation arm.</w:t>
      </w:r>
      <w:r>
        <w:t xml:space="preserve"> </w:t>
      </w:r>
      <w:r>
        <w:t xml:space="preserve">The training set holds 34,063 patients, of whom 5,964 are TRD-positive (17.5%). The</w:t>
      </w:r>
      <w:r>
        <w:t xml:space="preserve"> </w:t>
      </w:r>
      <w:r>
        <w:t xml:space="preserve">held-out test set holds 8,516 patients, of whom 1,491 are TRD-positive (17.5%). Across</w:t>
      </w:r>
      <w:r>
        <w:t xml:space="preserve"> </w:t>
      </w:r>
      <w:r>
        <w:t xml:space="preserve">100 predictor rows the largest absolute standardized mean difference between the two</w:t>
      </w:r>
      <w:r>
        <w:t xml:space="preserve"> </w:t>
      </w:r>
      <w:r>
        <w:t xml:space="preserve">sets is 0.036. For the retrieval analyses only training patients entered the searchable</w:t>
      </w:r>
      <w:r>
        <w:t xml:space="preserve"> </w:t>
      </w:r>
      <w:r>
        <w:t xml:space="preserve">neighbour pool, and test patients served solely as query anchors. That prevents both</w:t>
      </w:r>
      <w:r>
        <w:t xml:space="preserve"> </w:t>
      </w:r>
      <w:r>
        <w:t xml:space="preserve">self-retrieval and the use of any test outcome as a neighbour label. Supplement M7-M8</w:t>
      </w:r>
      <w:r>
        <w:t xml:space="preserve"> </w:t>
      </w:r>
      <w:r>
        <w:t xml:space="preserve">covers events-per-variable and the remaining leakage safeguards.</w:t>
      </w:r>
    </w:p>
    <w:bookmarkEnd w:id="26"/>
    <w:bookmarkStart w:id="27" w:name="model-development"/>
    <w:p>
      <w:pPr>
        <w:pStyle w:val="Heading2"/>
      </w:pPr>
      <w:r>
        <w:t xml:space="preserve">Model development</w:t>
      </w:r>
    </w:p>
    <w:p>
      <w:pPr>
        <w:pStyle w:val="FirstParagraph"/>
      </w:pPr>
      <w:r>
        <w:t xml:space="preserve">Logistic regression, random forest, gradient boosting and XGBoost were trained</w:t>
      </w:r>
      <w:r>
        <w:t xml:space="preserve"> </w:t>
      </w:r>
      <w:r>
        <w:t xml:space="preserve">separately on each representation. For the feature representation a column transformer</w:t>
      </w:r>
      <w:r>
        <w:t xml:space="preserve"> </w:t>
      </w:r>
      <w:r>
        <w:t xml:space="preserve">standardised continuous variables, one-hot encoded categorical variables while ignoring</w:t>
      </w:r>
      <w:r>
        <w:t xml:space="preserve"> </w:t>
      </w:r>
      <w:r>
        <w:t xml:space="preserve">unseen levels at inference, and cast Booleans to integers. The embedded representation</w:t>
      </w:r>
      <w:r>
        <w:t xml:space="preserve"> </w:t>
      </w:r>
      <w:r>
        <w:t xml:space="preserve">was processed as an all-numeric block. Preprocessing and estimation sat inside one</w:t>
      </w:r>
      <w:r>
        <w:t xml:space="preserve"> </w:t>
      </w:r>
      <w:r>
        <w:t xml:space="preserve">pipeline and were tuned by 5-fold cross-validated grid search on the training set,</w:t>
      </w:r>
      <w:r>
        <w:t xml:space="preserve"> </w:t>
      </w:r>
      <w:r>
        <w:t xml:space="preserve">optimising ROC AUC. On every fold, fitted preprocessing parameters and category</w:t>
      </w:r>
      <w:r>
        <w:t xml:space="preserve"> </w:t>
      </w:r>
      <w:r>
        <w:t xml:space="preserve">vocabularies came from that fold’s training rows alone. The best cross-validated</w:t>
      </w:r>
      <w:r>
        <w:t xml:space="preserve"> </w:t>
      </w:r>
      <w:r>
        <w:t xml:space="preserve">estimator was refit on the full training set and produced probabilities for the untouched</w:t>
      </w:r>
      <w:r>
        <w:t xml:space="preserve"> </w:t>
      </w:r>
      <w:r>
        <w:t xml:space="preserve">test set. Supplement M9 gives the grids.</w:t>
      </w:r>
    </w:p>
    <w:p>
      <w:pPr>
        <w:pStyle w:val="BodyText"/>
      </w:pPr>
      <w:r>
        <w:t xml:space="preserve">We also estimated risk on the embedded representation as a weighted mean of TRD labels</w:t>
      </w:r>
      <w:r>
        <w:t xml:space="preserve"> </w:t>
      </w:r>
      <w:r>
        <w:t xml:space="preserve">among retrieved training-set neighbours. Weighting was uniform, by cosine similarity, by</w:t>
      </w:r>
      <w:r>
        <w:t xml:space="preserve"> </w:t>
      </w:r>
      <w:r>
        <w:t xml:space="preserve">an outcome-blind clinical-similarity score from</w:t>
      </w:r>
      <w:r>
        <w:t xml:space="preserve"> </w:t>
      </w:r>
      <w:r>
        <w:rPr>
          <w:rStyle w:val="VerbatimChar"/>
        </w:rPr>
        <w:t xml:space="preserve">MedGemma-27B</w:t>
      </w:r>
      <w:r>
        <w:t xml:space="preserve"> </w:t>
      </w:r>
      <w:r>
        <w:t xml:space="preserve">[15], or by the harmonic</w:t>
      </w:r>
      <w:r>
        <w:t xml:space="preserve"> </w:t>
      </w:r>
      <w:r>
        <w:t xml:space="preserve">mean of the last two. Retrieval schemes selected the nearest, farthest, or random</w:t>
      </w:r>
      <w:r>
        <w:t xml:space="preserve"> </w:t>
      </w:r>
      <w:r>
        <w:t xml:space="preserve">neighbours, or the nearest within a randomly subsampled candidate pool. The judge</w:t>
      </w:r>
      <w:r>
        <w:t xml:space="preserve"> </w:t>
      </w:r>
      <w:r>
        <w:t xml:space="preserve">compared deterministic narratives under a fixed 6-domain rubric and returned a structured</w:t>
      </w:r>
      <w:r>
        <w:t xml:space="preserve"> </w:t>
      </w:r>
      <w:r>
        <w:t xml:space="preserve">0-100 similarity score, rescaled to 0-1. It never received or predicted patient outcomes.</w:t>
      </w:r>
      <w:r>
        <w:t xml:space="preserve"> </w:t>
      </w:r>
      <w:r>
        <w:t xml:space="preserve">No human-rated pairs exist to calibrate it, so no judge-derived quantity is reported as</w:t>
      </w:r>
      <w:r>
        <w:t xml:space="preserve"> </w:t>
      </w:r>
      <w:r>
        <w:t xml:space="preserve">an accuracy claim [24]. Supplement M10 gives the equations, prompts and retrieval</w:t>
      </w:r>
      <w:r>
        <w:t xml:space="preserve"> </w:t>
      </w:r>
      <w:r>
        <w:t xml:space="preserve">controls, and Supplement S1 the verbatim rubric.</w:t>
      </w:r>
    </w:p>
    <w:p>
      <w:pPr>
        <w:pStyle w:val="BodyText"/>
      </w:pPr>
      <w:r>
        <w:t xml:space="preserve">The semantic-feature ablation estimates how far the embedded pipeline relies directly on</w:t>
      </w:r>
      <w:r>
        <w:t xml:space="preserve"> </w:t>
      </w:r>
      <w:r>
        <w:t xml:space="preserve">a given concept. We permuted one narrative section or field at a time across patients,</w:t>
      </w:r>
      <w:r>
        <w:t xml:space="preserve"> </w:t>
      </w:r>
      <w:r>
        <w:t xml:space="preserve">re-embedded the perturbed narratives, and applied the already-trained classifiers without</w:t>
      </w:r>
      <w:r>
        <w:t xml:space="preserve"> </w:t>
      </w:r>
      <w:r>
        <w:t xml:space="preserve">retraining. Permutation preserves each concept’s marginal distribution and severs its</w:t>
      </w:r>
      <w:r>
        <w:t xml:space="preserve"> </w:t>
      </w:r>
      <w:r>
        <w:t xml:space="preserve">patient-level association with the outcome. The tested concepts are psychiatric history,</w:t>
      </w:r>
      <w:r>
        <w:t xml:space="preserve"> </w:t>
      </w:r>
      <w:r>
        <w:t xml:space="preserve">medication burden, prior treatment exposure, treatment contraindications, race and</w:t>
      </w:r>
      <w:r>
        <w:t xml:space="preserve"> </w:t>
      </w:r>
      <w:r>
        <w:t xml:space="preserve">ethnicity, and social determinants of health. The change in ROC AUC against the</w:t>
      </w:r>
      <w:r>
        <w:t xml:space="preserve"> </w:t>
      </w:r>
      <w:r>
        <w:t xml:space="preserve">unperturbed model quantifies direct-input reliance. This analysis does not establish</w:t>
      </w:r>
      <w:r>
        <w:t xml:space="preserve"> </w:t>
      </w:r>
      <w:r>
        <w:t xml:space="preserve">fairness, does not rule out reconstruction of a permuted concept from correlated fields,</w:t>
      </w:r>
      <w:r>
        <w:t xml:space="preserve"> </w:t>
      </w:r>
      <w:r>
        <w:t xml:space="preserve">and does not evaluate subgroup calibration. Supplement M11 records what each</w:t>
      </w:r>
      <w:r>
        <w:t xml:space="preserve"> </w:t>
      </w:r>
      <w:r>
        <w:t xml:space="preserve">permutation destroys and Supplement M12 the coverage of every arm.</w:t>
      </w:r>
    </w:p>
    <w:bookmarkEnd w:id="27"/>
    <w:bookmarkStart w:id="28" w:name="X9168f03c032114f5b7bbb12a622c0920fa7bc00"/>
    <w:p>
      <w:pPr>
        <w:pStyle w:val="Heading2"/>
      </w:pPr>
      <w:r>
        <w:t xml:space="preserve">Statistical analysis and performance metrics</w:t>
      </w:r>
    </w:p>
    <w:p>
      <w:pPr>
        <w:pStyle w:val="FirstParagraph"/>
      </w:pPr>
      <w:r>
        <w:t xml:space="preserve">Test-set performance is characterised by ROC AUC, by calibration slope and intercept, and</w:t>
      </w:r>
      <w:r>
        <w:t xml:space="preserve"> </w:t>
      </w:r>
      <w:r>
        <w:t xml:space="preserve">by sensitivity, specificity and likelihood ratios at the threshold maximising Youden’s J.</w:t>
      </w:r>
      <w:r>
        <w:t xml:space="preserve"> </w:t>
      </w:r>
      <w:r>
        <w:t xml:space="preserve">That threshold was chosen and evaluated in the same test set, so the operating-point</w:t>
      </w:r>
      <w:r>
        <w:t xml:space="preserve"> </w:t>
      </w:r>
      <w:r>
        <w:t xml:space="preserve">estimates are descriptive and optimistic rather than deployable. Calibration estimates</w:t>
      </w:r>
      <w:r>
        <w:t xml:space="preserve"> </w:t>
      </w:r>
      <w:r>
        <w:t xml:space="preserve">apply to this case-enriched cohort’s outcome frequency and were not recalibrated to</w:t>
      </w:r>
      <w:r>
        <w:t xml:space="preserve"> </w:t>
      </w:r>
      <w:r>
        <w:t xml:space="preserve">population prevalence.</w:t>
      </w:r>
    </w:p>
    <w:p>
      <w:pPr>
        <w:pStyle w:val="BodyText"/>
      </w:pPr>
      <w:r>
        <w:t xml:space="preserve">Confidence intervals come from nonparametric bootstrap resampling of test-set patients.</w:t>
      </w:r>
      <w:r>
        <w:t xml:space="preserve"> </w:t>
      </w:r>
      <w:r>
        <w:t xml:space="preserve">Differences in ROC AUC, both between unperturbed and ablated models and between the two</w:t>
      </w:r>
      <w:r>
        <w:t xml:space="preserve"> </w:t>
      </w:r>
      <w:r>
        <w:t xml:space="preserve">representations, were evaluated by paired bootstrap: each draw used the same resampled</w:t>
      </w:r>
      <w:r>
        <w:t xml:space="preserve"> </w:t>
      </w:r>
      <w:r>
        <w:t xml:space="preserve">patients for both prediction vectors before the difference was computed.</w:t>
      </w:r>
      <w:r>
        <w:t xml:space="preserve"> </w:t>
      </w:r>
      <w:r>
        <w:t xml:space="preserve">Classifier-matched contrasts hold the learner fixed and vary the representation. The</w:t>
      </w:r>
      <w:r>
        <w:t xml:space="preserve"> </w:t>
      </w:r>
      <w:r>
        <w:t xml:space="preserve">best-versus-best comparison is post hoc and is treated as descriptive. We prespecified no</w:t>
      </w:r>
      <w:r>
        <w:t xml:space="preserve"> </w:t>
      </w:r>
      <w:r>
        <w:t xml:space="preserve">equivalence or non-inferiority margin, so an interval containing zero is read as absence</w:t>
      </w:r>
      <w:r>
        <w:t xml:space="preserve"> </w:t>
      </w:r>
      <w:r>
        <w:t xml:space="preserve">of evidence for superiority rather than as evidence of equivalence. Supplement M13 gives</w:t>
      </w:r>
      <w:r>
        <w:t xml:space="preserve"> </w:t>
      </w:r>
      <w:r>
        <w:t xml:space="preserve">the remaining detail.</w:t>
      </w:r>
    </w:p>
    <w:bookmarkEnd w:id="28"/>
    <w:bookmarkStart w:id="30" w:name="reproducibility-and-software"/>
    <w:p>
      <w:pPr>
        <w:pStyle w:val="Heading2"/>
      </w:pPr>
      <w:r>
        <w:t xml:space="preserve">Reproducibility and software</w:t>
      </w:r>
    </w:p>
    <w:p>
      <w:pPr>
        <w:pStyle w:val="FirstParagraph"/>
      </w:pPr>
      <w:r>
        <w:t xml:space="preserve">All random processes were seeded. Analyses were implemented in Python with scikit-learn</w:t>
      </w:r>
      <w:r>
        <w:t xml:space="preserve"> </w:t>
      </w:r>
      <w:r>
        <w:t xml:space="preserve">[16], XGBoost [17], and sentence-transformer encoders [11]. Analysis code is available at</w:t>
      </w:r>
      <w:r>
        <w:t xml:space="preserve"> </w:t>
      </w:r>
      <w:hyperlink r:id="rId29">
        <w:r>
          <w:rPr>
            <w:rStyle w:val="Hyperlink"/>
          </w:rPr>
          <w:t xml:space="preserve">https://github.com/Pirate-Hunter-Zoro/TRD-EHR</w:t>
        </w:r>
      </w:hyperlink>
      <w:r>
        <w:t xml:space="preserve">.</w:t>
      </w:r>
    </w:p>
    <w:bookmarkEnd w:id="30"/>
    <w:bookmarkEnd w:id="31"/>
    <w:bookmarkStart w:id="38" w:name="results"/>
    <w:p>
      <w:pPr>
        <w:pStyle w:val="Heading1"/>
      </w:pPr>
      <w:r>
        <w:t xml:space="preserve">Results</w:t>
      </w:r>
    </w:p>
    <w:bookmarkStart w:id="32" w:name="Xc7b88dcc0494e141b9061f856c655dfa8818b92"/>
    <w:p>
      <w:pPr>
        <w:pStyle w:val="Heading2"/>
      </w:pPr>
      <w:r>
        <w:t xml:space="preserve">Participant flow and cohort characteristics</w:t>
      </w:r>
    </w:p>
    <w:p>
      <w:pPr>
        <w:pStyle w:val="FirstParagraph"/>
      </w:pPr>
      <w:r>
        <w:t xml:space="preserve">The eligibility cascade reduced 501,718 extracted patients to 42,579 analysed ones. The</w:t>
      </w:r>
      <w:r>
        <w:t xml:space="preserve"> </w:t>
      </w:r>
      <w:r>
        <w:t xml:space="preserve">MDD requirement removed the largest block, leaving 144,110. Excluding bipolar and</w:t>
      </w:r>
      <w:r>
        <w:t xml:space="preserve"> </w:t>
      </w:r>
      <w:r>
        <w:t xml:space="preserve">schizophrenia-spectrum diagnoses left 124,188, and requiring an antidepressant index</w:t>
      </w:r>
      <w:r>
        <w:t xml:space="preserve"> </w:t>
      </w:r>
      <w:r>
        <w:t xml:space="preserve">left 107,636. Requiring the MDD diagnosis to precede that index left 103,458. The two</w:t>
      </w:r>
      <w:r>
        <w:t xml:space="preserve"> </w:t>
      </w:r>
      <w:r>
        <w:t xml:space="preserve">window requirements were the next largest losses: 730 days of pre-index history left</w:t>
      </w:r>
      <w:r>
        <w:t xml:space="preserve"> </w:t>
      </w:r>
      <w:r>
        <w:t xml:space="preserve">54,215, and 365 days of post-index follow-up left the final 42,579. Supplement M2 gives</w:t>
      </w:r>
      <w:r>
        <w:t xml:space="preserve"> </w:t>
      </w:r>
      <w:r>
        <w:t xml:space="preserve">the cascade in full.</w:t>
      </w:r>
    </w:p>
    <w:p>
      <w:pPr>
        <w:pStyle w:val="BodyText"/>
      </w:pPr>
      <w:r>
        <w:t xml:space="preserve">Of those 42,579 patients, 7,455 met the TRD proxy, a rate of 17.5%. The cohort is</w:t>
      </w:r>
      <w:r>
        <w:t xml:space="preserve"> </w:t>
      </w:r>
      <w:r>
        <w:t xml:space="preserve">predominantly female, at 30,850 women against 11,728 men. TRD rates differ modestly by</w:t>
      </w:r>
      <w:r>
        <w:t xml:space="preserve"> </w:t>
      </w:r>
      <w:r>
        <w:t xml:space="preserve">sex, at 18.0% in women and 16.2% in men. Median age is 55 years and TRD-positive</w:t>
      </w:r>
      <w:r>
        <w:t xml:space="preserve"> </w:t>
      </w:r>
      <w:r>
        <w:t xml:space="preserve">patients are younger, with a mean of 51.4 years against 55.1 in TRD-negative patients.</w:t>
      </w:r>
      <w:r>
        <w:t xml:space="preserve"> </w:t>
      </w:r>
      <w:r>
        <w:t xml:space="preserve">Table 1 gives the full cohort description.</w:t>
      </w:r>
    </w:p>
    <w:p>
      <w:pPr>
        <w:pStyle w:val="BodyText"/>
      </w:pPr>
      <w:r>
        <w:t xml:space="preserve">The training and test sets are comparable on every measured predictor. Across 100</w:t>
      </w:r>
      <w:r>
        <w:t xml:space="preserve"> </w:t>
      </w:r>
      <w:r>
        <w:t xml:space="preserve">predictor rows the largest absolute standardized mean difference between them is 0.036,</w:t>
      </w:r>
      <w:r>
        <w:t xml:space="preserve"> </w:t>
      </w:r>
      <w:r>
        <w:t xml:space="preserve">well inside any conventional imbalance threshold. That comparability is a property of</w:t>
      </w:r>
      <w:r>
        <w:t xml:space="preserve"> </w:t>
      </w:r>
      <w:r>
        <w:t xml:space="preserve">the stratified split rather than a finding, and it is reported so a reader can rule out</w:t>
      </w:r>
      <w:r>
        <w:t xml:space="preserve"> </w:t>
      </w:r>
      <w:r>
        <w:t xml:space="preserve">allocation imbalance as an explanation for anything below.</w:t>
      </w:r>
    </w:p>
    <w:bookmarkEnd w:id="32"/>
    <w:bookmarkStart w:id="33" w:name="discrimination"/>
    <w:p>
      <w:pPr>
        <w:pStyle w:val="Heading2"/>
      </w:pPr>
      <w:r>
        <w:t xml:space="preserve">Discrimination</w:t>
      </w:r>
    </w:p>
    <w:p>
      <w:pPr>
        <w:pStyle w:val="FirstParagraph"/>
      </w:pPr>
      <w:r>
        <w:t xml:space="preserve">Neither representation discriminated better than the other. The best embedded model was</w:t>
      </w:r>
      <w:r>
        <w:t xml:space="preserve"> </w:t>
      </w:r>
      <w:r>
        <w:t xml:space="preserve">logistic regression, at ROC AUC 0.657 (95% CI 0.643-0.672). The best feature model was</w:t>
      </w:r>
      <w:r>
        <w:t xml:space="preserve"> </w:t>
      </w:r>
      <w:r>
        <w:t xml:space="preserve">XGBoost, at 0.649 (0.634-0.664). Their paired difference was +0.008 (95% CI -0.003 to</w:t>
      </w:r>
      <w:r>
        <w:t xml:space="preserve"> </w:t>
      </w:r>
      <w:r>
        <w:t xml:space="preserve">+0.019). That interval contains zero, so the comparison provides no evidence that either</w:t>
      </w:r>
      <w:r>
        <w:t xml:space="preserve"> </w:t>
      </w:r>
      <w:r>
        <w:t xml:space="preserve">pipeline is superior. It is also not evidence of equivalence, because no equivalence</w:t>
      </w:r>
      <w:r>
        <w:t xml:space="preserve"> </w:t>
      </w:r>
      <w:r>
        <w:t xml:space="preserve">margin was prespecified.</w:t>
      </w:r>
    </w:p>
    <w:p>
      <w:pPr>
        <w:pStyle w:val="BodyText"/>
      </w:pPr>
      <w:r>
        <w:t xml:space="preserve">Holding the classifier fixed produces a sharper and more interesting picture than the</w:t>
      </w:r>
      <w:r>
        <w:t xml:space="preserve"> </w:t>
      </w:r>
      <w:r>
        <w:t xml:space="preserve">headline comparison does. The embedding helped logistic regression substantially, by</w:t>
      </w:r>
      <w:r>
        <w:t xml:space="preserve"> </w:t>
      </w:r>
      <w:r>
        <w:t xml:space="preserve">+0.028 (0.017 to 0.039). It hurt every tree ensemble: random forest by -0.022</w:t>
      </w:r>
      <w:r>
        <w:t xml:space="preserve"> </w:t>
      </w:r>
      <w:r>
        <w:t xml:space="preserve">(-0.033 to -0.011), gradient boosting by -0.013 (-0.026 to -0.001), and XGBoost by</w:t>
      </w:r>
      <w:r>
        <w:t xml:space="preserve"> </w:t>
      </w:r>
      <w:r>
        <w:t xml:space="preserve">-0.013 (-0.025 to -0.002). Every one of those four intervals excludes zero. Representation</w:t>
      </w:r>
      <w:r>
        <w:t xml:space="preserve"> </w:t>
      </w:r>
      <w:r>
        <w:t xml:space="preserve">and learner are therefore not separable choices, and reporting either one alone would</w:t>
      </w:r>
      <w:r>
        <w:t xml:space="preserve"> </w:t>
      </w:r>
      <w:r>
        <w:t xml:space="preserve">misdescribe the result.</w:t>
      </w:r>
    </w:p>
    <w:p>
      <w:pPr>
        <w:pStyle w:val="BodyText"/>
      </w:pPr>
      <w:r>
        <w:t xml:space="preserve">That pattern is what a 4,096-dimensional dense block does to two different model</w:t>
      </w:r>
      <w:r>
        <w:t xml:space="preserve"> </w:t>
      </w:r>
      <w:r>
        <w:t xml:space="preserve">families. A regularised linear model handles that geometry well, and axis-aligned trees</w:t>
      </w:r>
      <w:r>
        <w:t xml:space="preserve"> </w:t>
      </w:r>
      <w:r>
        <w:t xml:space="preserve">splitting on individual embedding dimensions handle it badly. The practical implication</w:t>
      </w:r>
      <w:r>
        <w:t xml:space="preserve"> </w:t>
      </w:r>
      <w:r>
        <w:t xml:space="preserve">runs the other way from the usual intuition: the embedded representation does not need a</w:t>
      </w:r>
      <w:r>
        <w:t xml:space="preserve"> </w:t>
      </w:r>
      <w:r>
        <w:t xml:space="preserve">more powerful learner, it needs a simpler one.</w:t>
      </w:r>
    </w:p>
    <w:p>
      <w:pPr>
        <w:pStyle w:val="BodyText"/>
      </w:pPr>
      <w:r>
        <w:t xml:space="preserve">Absolute discrimination is modest under every combination. Across the eight</w:t>
      </w:r>
      <w:r>
        <w:t xml:space="preserve"> </w:t>
      </w:r>
      <w:r>
        <w:t xml:space="preserve">representation-by-classifier cells the range runs from 0.623 to 0.657. Discrimination</w:t>
      </w:r>
      <w:r>
        <w:t xml:space="preserve"> </w:t>
      </w:r>
      <w:r>
        <w:t xml:space="preserve">near 0.65 places these models well below the internal figures reported for structured-EHR</w:t>
      </w:r>
      <w:r>
        <w:t xml:space="preserve"> </w:t>
      </w:r>
      <w:r>
        <w:t xml:space="preserve">TRD models, at 0.83 [28], and close to the external-validation figure of 0.652 [29].</w:t>
      </w:r>
    </w:p>
    <w:bookmarkEnd w:id="33"/>
    <w:bookmarkStart w:id="34" w:name="Xe371ee191cdbbb6beacc55cc222625062f8b52b"/>
    <w:p>
      <w:pPr>
        <w:pStyle w:val="Heading2"/>
      </w:pPr>
      <w:r>
        <w:t xml:space="preserve">Calibration and operating characteristics</w:t>
      </w:r>
    </w:p>
    <w:p>
      <w:pPr>
        <w:pStyle w:val="FirstParagraph"/>
      </w:pPr>
      <w:r>
        <w:t xml:space="preserve">Calibration was adequate for the best embedded model and did not distinguish the</w:t>
      </w:r>
      <w:r>
        <w:t xml:space="preserve"> </w:t>
      </w:r>
      <w:r>
        <w:t xml:space="preserve">representations. Embedded logistic regression had a calibration slope of 1.272 and an</w:t>
      </w:r>
      <w:r>
        <w:t xml:space="preserve"> </w:t>
      </w:r>
      <w:r>
        <w:t xml:space="preserve">intercept of -0.069, indicating slight under-dispersion of predicted risk. Its weighted</w:t>
      </w:r>
      <w:r>
        <w:t xml:space="preserve"> </w:t>
      </w:r>
      <w:r>
        <w:t xml:space="preserve">calibration error was 0.010 and its Brier score 0.137. The best feature model reached a</w:t>
      </w:r>
      <w:r>
        <w:t xml:space="preserve"> </w:t>
      </w:r>
      <w:r>
        <w:t xml:space="preserve">Brier score of 0.138. Table 3 gives slope and intercept for every classifier and</w:t>
      </w:r>
      <w:r>
        <w:t xml:space="preserve"> </w:t>
      </w:r>
      <w:r>
        <w:t xml:space="preserve">Supplement S4 the full calibration metrics.</w:t>
      </w:r>
    </w:p>
    <w:p>
      <w:pPr>
        <w:pStyle w:val="BodyText"/>
      </w:pPr>
      <w:r>
        <w:t xml:space="preserve">Precision-recall performance tracks discrimination and is the more informative view at</w:t>
      </w:r>
      <w:r>
        <w:t xml:space="preserve"> </w:t>
      </w:r>
      <w:r>
        <w:t xml:space="preserve">this outcome frequency. Embedded logistic regression reached AUPRC 0.302 against a</w:t>
      </w:r>
      <w:r>
        <w:t xml:space="preserve"> </w:t>
      </w:r>
      <w:r>
        <w:t xml:space="preserve">positive rate of 17.5%, and the best feature model reached 0.298. Both represent a real</w:t>
      </w:r>
      <w:r>
        <w:t xml:space="preserve"> </w:t>
      </w:r>
      <w:r>
        <w:t xml:space="preserve">but small improvement over the prevalence baseline.</w:t>
      </w:r>
    </w:p>
    <w:bookmarkEnd w:id="34"/>
    <w:bookmarkStart w:id="35" w:name="encoder-robustness"/>
    <w:p>
      <w:pPr>
        <w:pStyle w:val="Heading2"/>
      </w:pPr>
      <w:r>
        <w:t xml:space="preserve">Encoder robustness</w:t>
      </w:r>
    </w:p>
    <w:p>
      <w:pPr>
        <w:pStyle w:val="FirstParagraph"/>
      </w:pPr>
      <w:r>
        <w:t xml:space="preserve">The comparison does not depend on which encoder produced the embedding. Logistic</w:t>
      </w:r>
      <w:r>
        <w:t xml:space="preserve"> </w:t>
      </w:r>
      <w:r>
        <w:t xml:space="preserve">regression was the strongest embedded classifier under all four, and the best embedded</w:t>
      </w:r>
      <w:r>
        <w:t xml:space="preserve"> </w:t>
      </w:r>
      <w:r>
        <w:t xml:space="preserve">ROC AUC spans a narrow band from 0.645 to 0.657.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led at 0.657,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bge-en-icl</w:t>
      </w:r>
      <w:r>
        <w:t xml:space="preserve"> </w:t>
      </w:r>
      <w:r>
        <w:t xml:space="preserve">at 0.655,</w:t>
      </w:r>
      <w:r>
        <w:t xml:space="preserve"> </w:t>
      </w:r>
      <w:r>
        <w:rPr>
          <w:rStyle w:val="VerbatimChar"/>
        </w:rPr>
        <w:t xml:space="preserve">Qwen3-Embedding-4B</w:t>
      </w:r>
      <w:r>
        <w:t xml:space="preserve"> </w:t>
      </w:r>
      <w:r>
        <w:t xml:space="preserve">at 0.655, and</w:t>
      </w:r>
      <w:r>
        <w:t xml:space="preserve"> </w:t>
      </w:r>
      <w:r>
        <w:rPr>
          <w:rStyle w:val="VerbatimChar"/>
        </w:rPr>
        <w:t xml:space="preserve">bge-small-en-v1.5</w:t>
      </w:r>
      <w:r>
        <w:t xml:space="preserve"> </w:t>
      </w:r>
      <w:r>
        <w:t xml:space="preserve">at 0.645.</w:t>
      </w:r>
    </w:p>
    <w:p>
      <w:pPr>
        <w:pStyle w:val="BodyText"/>
      </w:pPr>
      <w:r>
        <w:t xml:space="preserve">Encoder scale bought almost nothing. The smallest encoder produces 384 dimensions and the</w:t>
      </w:r>
      <w:r>
        <w:t xml:space="preserve"> </w:t>
      </w:r>
      <w:r>
        <w:t xml:space="preserve">largest produces 4,096, a factor of more than ten, and the resulting discrimination</w:t>
      </w:r>
      <w:r>
        <w:t xml:space="preserve"> </w:t>
      </w:r>
      <w:r>
        <w:t xml:space="preserve">differs by 0.013. Whatever signal the narrative carries is evidently accessible to a</w:t>
      </w:r>
      <w:r>
        <w:t xml:space="preserve"> </w:t>
      </w:r>
      <w:r>
        <w:t xml:space="preserve">small general-purpose encoder, which matters for anyone deciding what to run this</w:t>
      </w:r>
      <w:r>
        <w:t xml:space="preserve"> </w:t>
      </w:r>
      <w:r>
        <w:t xml:space="preserve">pipeline on.</w:t>
      </w:r>
    </w:p>
    <w:bookmarkEnd w:id="35"/>
    <w:bookmarkStart w:id="36" w:name="where-the-signal-is"/>
    <w:p>
      <w:pPr>
        <w:pStyle w:val="Heading2"/>
      </w:pPr>
      <w:r>
        <w:t xml:space="preserve">Where the signal is</w:t>
      </w:r>
    </w:p>
    <w:p>
      <w:pPr>
        <w:pStyle w:val="FirstParagraph"/>
      </w:pPr>
      <w:r>
        <w:t xml:space="preserve">The fitted embedded model is sparse rather than diffuse. L1-penalised logistic regression</w:t>
      </w:r>
      <w:r>
        <w:t xml:space="preserve"> </w:t>
      </w:r>
      <w:r>
        <w:t xml:space="preserve">retained 385 non-zero coefficients out of 4,096, so roughly one dimension in eleven</w:t>
      </w:r>
      <w:r>
        <w:t xml:space="preserve"> </w:t>
      </w:r>
      <w:r>
        <w:t xml:space="preserve">carries the model’s weight. A representation that spread its signal evenly across four</w:t>
      </w:r>
      <w:r>
        <w:t xml:space="preserve"> </w:t>
      </w:r>
      <w:r>
        <w:t xml:space="preserve">thousand dimensions would be far harder to interrogate than this one turned out to be.</w:t>
      </w:r>
    </w:p>
    <w:p>
      <w:pPr>
        <w:pStyle w:val="BodyText"/>
      </w:pPr>
      <w:r>
        <w:t xml:space="preserve">Permutation localised that signal to three clinical concepts. Permuting psychiatric</w:t>
      </w:r>
      <w:r>
        <w:t xml:space="preserve"> </w:t>
      </w:r>
      <w:r>
        <w:t xml:space="preserve">history cost -0.028 in ROC AUC (95% CI -0.039 to -0.017). Permuting medication burden</w:t>
      </w:r>
      <w:r>
        <w:t xml:space="preserve"> </w:t>
      </w:r>
      <w:r>
        <w:t xml:space="preserve">cost -0.027 (-0.037 to -0.018), and permuting prior treatment exposure cost -0.019</w:t>
      </w:r>
      <w:r>
        <w:t xml:space="preserve"> </w:t>
      </w:r>
      <w:r>
        <w:t xml:space="preserve">(-0.027 to -0.011). All three intervals exclude zero. These are the three concepts a</w:t>
      </w:r>
      <w:r>
        <w:t xml:space="preserve"> </w:t>
      </w:r>
      <w:r>
        <w:t xml:space="preserve">clinician would expect to matter for treatment resistance, which is the result the</w:t>
      </w:r>
      <w:r>
        <w:t xml:space="preserve"> </w:t>
      </w:r>
      <w:r>
        <w:t xml:space="preserve">analysis was designed to be able to fail.</w:t>
      </w:r>
    </w:p>
    <w:p>
      <w:pPr>
        <w:pStyle w:val="BodyText"/>
      </w:pPr>
      <w:r>
        <w:t xml:space="preserve">Three other concepts cost nothing measurable. Permuting treatment contraindications cost</w:t>
      </w:r>
      <w:r>
        <w:t xml:space="preserve"> </w:t>
      </w:r>
      <w:r>
        <w:t xml:space="preserve">-0.002 (-0.004 to +0.001), permuting social determinants cost -0.000 (-0.001 to +0.000),</w:t>
      </w:r>
      <w:r>
        <w:t xml:space="preserve"> </w:t>
      </w:r>
      <w:r>
        <w:t xml:space="preserve">and permuting race and ethnicity cost -0.000 (-0.002 to +0.002). Every one of those</w:t>
      </w:r>
      <w:r>
        <w:t xml:space="preserve"> </w:t>
      </w:r>
      <w:r>
        <w:t xml:space="preserve">intervals contains zero. The model’s predictions therefore do not depend on its race or</w:t>
      </w:r>
      <w:r>
        <w:t xml:space="preserve"> </w:t>
      </w:r>
      <w:r>
        <w:t xml:space="preserve">social-determinant inputs in any measurable way.</w:t>
      </w:r>
    </w:p>
    <w:p>
      <w:pPr>
        <w:pStyle w:val="BodyText"/>
      </w:pPr>
      <w:r>
        <w:t xml:space="preserve">That last finding needs its boundary stated with it. The ablation permutes an input and</w:t>
      </w:r>
      <w:r>
        <w:t xml:space="preserve"> </w:t>
      </w:r>
      <w:r>
        <w:t xml:space="preserve">re-scores; it does not rule out reconstruction of a permuted concept from correlated</w:t>
      </w:r>
      <w:r>
        <w:t xml:space="preserve"> </w:t>
      </w:r>
      <w:r>
        <w:t xml:space="preserve">fields, it does not evaluate subgroup calibration, and it says nothing about whether the</w:t>
      </w:r>
      <w:r>
        <w:t xml:space="preserve"> </w:t>
      </w:r>
      <w:r>
        <w:t xml:space="preserve">outcome label is itself equitable. It establishes that the model does not read these</w:t>
      </w:r>
      <w:r>
        <w:t xml:space="preserve"> </w:t>
      </w:r>
      <w:r>
        <w:t xml:space="preserve">fields directly. It does not establish that the model is fair.</w:t>
      </w:r>
    </w:p>
    <w:bookmarkEnd w:id="36"/>
    <w:bookmarkStart w:id="37" w:name="neighbour-weighted-prediction"/>
    <w:p>
      <w:pPr>
        <w:pStyle w:val="Heading2"/>
      </w:pPr>
      <w:r>
        <w:t xml:space="preserve">Neighbour-weighted prediction</w:t>
      </w:r>
    </w:p>
    <w:p>
      <w:pPr>
        <w:pStyle w:val="FirstParagraph"/>
      </w:pPr>
      <w:r>
        <w:t xml:space="preserve">The embedding space is organised around the outcome, and weakly. A neighbour-weighted</w:t>
      </w:r>
      <w:r>
        <w:t xml:space="preserve"> </w:t>
      </w:r>
      <w:r>
        <w:t xml:space="preserve">predictor using nearest-neighbour retrieval reached ROC AUC 0.593. Random retrieval</w:t>
      </w:r>
      <w:r>
        <w:t xml:space="preserve"> </w:t>
      </w:r>
      <w:r>
        <w:t xml:space="preserve">reached 0.494 to 0.517 depending on the weighting, which is chance. Farthest-neighbour</w:t>
      </w:r>
      <w:r>
        <w:t xml:space="preserve"> </w:t>
      </w:r>
      <w:r>
        <w:t xml:space="preserve">retrieval inverted to 0.434, below chance, which is what a genuine outcome gradient</w:t>
      </w:r>
      <w:r>
        <w:t xml:space="preserve"> </w:t>
      </w:r>
      <w:r>
        <w:t xml:space="preserve">predicts and what a spurious one would not produce.</w:t>
      </w:r>
    </w:p>
    <w:p>
      <w:pPr>
        <w:pStyle w:val="BodyText"/>
      </w:pPr>
      <w:r>
        <w:t xml:space="preserve">Retrieval scheme dominated weighting strategy throughout. The four weightings within</w:t>
      </w:r>
      <w:r>
        <w:t xml:space="preserve"> </w:t>
      </w:r>
      <w:r>
        <w:t xml:space="preserve">nearest-neighbour retrieval span 0.593 to 0.595, a range narrower than the difference</w:t>
      </w:r>
      <w:r>
        <w:t xml:space="preserve"> </w:t>
      </w:r>
      <w:r>
        <w:t xml:space="preserve">between any two retrieval schemes. The clinical-similarity judge therefore bought nothing</w:t>
      </w:r>
      <w:r>
        <w:t xml:space="preserve"> </w:t>
      </w:r>
      <w:r>
        <w:t xml:space="preserve">over plain cosine distance on this task, and no judge-derived quantity is reported as an</w:t>
      </w:r>
      <w:r>
        <w:t xml:space="preserve"> </w:t>
      </w:r>
      <w:r>
        <w:t xml:space="preserve">accuracy claim.</w:t>
      </w:r>
    </w:p>
    <w:p>
      <w:pPr>
        <w:pStyle w:val="BodyText"/>
      </w:pPr>
      <w:r>
        <w:t xml:space="preserve">Every neighbour-weighted variant stayed below the trained classifiers. Retrieval confirms</w:t>
      </w:r>
      <w:r>
        <w:t xml:space="preserve"> </w:t>
      </w:r>
      <w:r>
        <w:t xml:space="preserve">that similar records carry similar outcomes and it is not a competitive predictor, so the</w:t>
      </w:r>
      <w:r>
        <w:t xml:space="preserve"> </w:t>
      </w:r>
      <w:r>
        <w:t xml:space="preserve">trained models are extracting something retrieval alone does not reach.</w:t>
      </w:r>
    </w:p>
    <w:bookmarkEnd w:id="37"/>
    <w:bookmarkEnd w:id="38"/>
    <w:bookmarkStart w:id="45" w:name="discussion"/>
    <w:p>
      <w:pPr>
        <w:pStyle w:val="Heading1"/>
      </w:pPr>
      <w:r>
        <w:t xml:space="preserve">Discussion</w:t>
      </w:r>
    </w:p>
    <w:bookmarkStart w:id="39" w:name="principal-findings"/>
    <w:p>
      <w:pPr>
        <w:pStyle w:val="Heading2"/>
      </w:pPr>
      <w:r>
        <w:t xml:space="preserve">Principal findings</w:t>
      </w:r>
    </w:p>
    <w:p>
      <w:pPr>
        <w:pStyle w:val="FirstParagraph"/>
      </w:pPr>
      <w:r>
        <w:t xml:space="preserve">EHR-derived patient representations carried modest but measurable signal for a</w:t>
      </w:r>
      <w:r>
        <w:t xml:space="preserve"> </w:t>
      </w:r>
      <w:r>
        <w:t xml:space="preserve">treatment-switch proxy for subsequent TRD, measured at the index antidepressant</w:t>
      </w:r>
      <w:r>
        <w:t xml:space="preserve"> </w:t>
      </w:r>
      <w:r>
        <w:t xml:space="preserve">prescription. An embedded representation classified by logistic regression discriminated</w:t>
      </w:r>
      <w:r>
        <w:t xml:space="preserve"> </w:t>
      </w:r>
      <w:r>
        <w:t xml:space="preserve">essentially as well as the best feature model, at ROC AUC 0.657 against 0.649. Both</w:t>
      </w:r>
      <w:r>
        <w:t xml:space="preserve"> </w:t>
      </w:r>
      <w:r>
        <w:t xml:space="preserve">representations scored the same held-out patients, so the paired bootstrap is the</w:t>
      </w:r>
      <w:r>
        <w:t xml:space="preserve"> </w:t>
      </w:r>
      <w:r>
        <w:t xml:space="preserve">relevant comparison, and it gave a difference of +0.008 (95% CI -0.003 to +0.019). The</w:t>
      </w:r>
      <w:r>
        <w:t xml:space="preserve"> </w:t>
      </w:r>
      <w:r>
        <w:t xml:space="preserve">result supports parity rather than superiority.</w:t>
      </w:r>
    </w:p>
    <w:p>
      <w:pPr>
        <w:pStyle w:val="BodyText"/>
      </w:pPr>
      <w:r>
        <w:t xml:space="preserve">Parity here should not be read as evidence that narrative embedding added clinical</w:t>
      </w:r>
      <w:r>
        <w:t xml:space="preserve"> </w:t>
      </w:r>
      <w:r>
        <w:t xml:space="preserve">information. Both representations were generated from the same pre-index structured</w:t>
      </w:r>
      <w:r>
        <w:t xml:space="preserve"> </w:t>
      </w:r>
      <w:r>
        <w:t xml:space="preserve">record, so there was no new information available to either. What the result shows is</w:t>
      </w:r>
      <w:r>
        <w:t xml:space="preserve"> </w:t>
      </w:r>
      <w:r>
        <w:t xml:space="preserve">narrower and still useful: a general-purpose encoder can reorganise the available</w:t>
      </w:r>
      <w:r>
        <w:t xml:space="preserve"> </w:t>
      </w:r>
      <w:r>
        <w:t xml:space="preserve">structural signal into a dense space without materially degrading discrimination. That</w:t>
      </w:r>
      <w:r>
        <w:t xml:space="preserve"> </w:t>
      </w:r>
      <w:r>
        <w:t xml:space="preserve">is a claim about representation, not about content.</w:t>
      </w:r>
    </w:p>
    <w:p>
      <w:pPr>
        <w:pStyle w:val="BodyText"/>
      </w:pPr>
      <w:r>
        <w:t xml:space="preserve">Representation and learner turned out to be interacting choices rather than separable</w:t>
      </w:r>
      <w:r>
        <w:t xml:space="preserve"> </w:t>
      </w:r>
      <w:r>
        <w:t xml:space="preserve">components. Logistic regression was the strongest embedded classifier under all four</w:t>
      </w:r>
      <w:r>
        <w:t xml:space="preserve"> </w:t>
      </w:r>
      <w:r>
        <w:t xml:space="preserve">encoders and the best model overall under the primary one. The classifier-matched</w:t>
      </w:r>
      <w:r>
        <w:t xml:space="preserve"> </w:t>
      </w:r>
      <w:r>
        <w:t xml:space="preserve">contrasts show why that matters: the embedding beat the feature representation with</w:t>
      </w:r>
      <w:r>
        <w:t xml:space="preserve"> </w:t>
      </w:r>
      <w:r>
        <w:t xml:space="preserve">logistic regression by +0.028 and lost to it with all three tree ensembles, by -0.013 to</w:t>
      </w:r>
      <w:r>
        <w:t xml:space="preserve"> </w:t>
      </w:r>
      <w:r>
        <w:t xml:space="preserve">-0.022. Dense latent coordinates suit a regularised linear combination. One-coordinate</w:t>
      </w:r>
      <w:r>
        <w:t xml:space="preserve"> </w:t>
      </w:r>
      <w:r>
        <w:t xml:space="preserve">tree splits no longer operate on individually meaningful clinical variables, which is</w:t>
      </w:r>
      <w:r>
        <w:t xml:space="preserve"> </w:t>
      </w:r>
      <w:r>
        <w:t xml:space="preserve">what those coordinates stop being.</w:t>
      </w:r>
    </w:p>
    <w:p>
      <w:pPr>
        <w:pStyle w:val="BodyText"/>
      </w:pPr>
      <w:r>
        <w:t xml:space="preserve">We are careful about how far that reads. The pattern is consistent with a decision</w:t>
      </w:r>
      <w:r>
        <w:t xml:space="preserve"> </w:t>
      </w:r>
      <w:r>
        <w:t xml:space="preserve">boundary a regularised linear model captures efficiently. It does not establish that the</w:t>
      </w:r>
      <w:r>
        <w:t xml:space="preserve"> </w:t>
      </w:r>
      <w:r>
        <w:t xml:space="preserve">latent clinical structure is intrinsically linear, because differences in</w:t>
      </w:r>
      <w:r>
        <w:t xml:space="preserve"> </w:t>
      </w:r>
      <w:r>
        <w:t xml:space="preserve">regularisation, dimensionality and inductive bias all offer alternative explanations for</w:t>
      </w:r>
      <w:r>
        <w:t xml:space="preserve"> </w:t>
      </w:r>
      <w:r>
        <w:t xml:space="preserve">the same ordering.</w:t>
      </w:r>
    </w:p>
    <w:p>
      <w:pPr>
        <w:pStyle w:val="BodyText"/>
      </w:pPr>
      <w:r>
        <w:t xml:space="preserve">The fitted model used a restricted portion of its nominal input space. It assigned</w:t>
      </w:r>
      <w:r>
        <w:t xml:space="preserve"> </w:t>
      </w:r>
      <w:r>
        <w:t xml:space="preserve">non-zero coefficients to 385 of 4,096 dimensions, and roughly 80% of the total absolute</w:t>
      </w:r>
      <w:r>
        <w:t xml:space="preserve"> </w:t>
      </w:r>
      <w:r>
        <w:t xml:space="preserve">coefficient mass fell inside 179 of them. Fewer than 5% of the available latent</w:t>
      </w:r>
      <w:r>
        <w:t xml:space="preserve"> </w:t>
      </w:r>
      <w:r>
        <w:t xml:space="preserve">dimensions therefore carry most of the fitted magnitude. That concentration narrows the</w:t>
      </w:r>
      <w:r>
        <w:t xml:space="preserve"> </w:t>
      </w:r>
      <w:r>
        <w:t xml:space="preserve">gap between nominal input dimension and fitted model complexity, and it makes the</w:t>
      </w:r>
      <w:r>
        <w:t xml:space="preserve"> </w:t>
      </w:r>
      <w:r>
        <w:t xml:space="preserve">events-per-variable concern less severe than a raw count of 4,096 inputs implies. It</w:t>
      </w:r>
      <w:r>
        <w:t xml:space="preserve"> </w:t>
      </w:r>
      <w:r>
        <w:t xml:space="preserve">does not remove the concern. The selected directions may be unstable across resamples or</w:t>
      </w:r>
      <w:r>
        <w:t xml:space="preserve"> </w:t>
      </w:r>
      <w:r>
        <w:t xml:space="preserve">sites, and coefficient magnitude confers neither semantic interpretability nor evidence</w:t>
      </w:r>
      <w:r>
        <w:t xml:space="preserve"> </w:t>
      </w:r>
      <w:r>
        <w:t xml:space="preserve">that these directions track distinct clinical processes.</w:t>
      </w:r>
    </w:p>
    <w:bookmarkEnd w:id="39"/>
    <w:bookmarkStart w:id="40" w:name="clinical-interpretation"/>
    <w:p>
      <w:pPr>
        <w:pStyle w:val="Heading2"/>
      </w:pPr>
      <w:r>
        <w:t xml:space="preserve">Clinical interpretation</w:t>
      </w:r>
    </w:p>
    <w:p>
      <w:pPr>
        <w:pStyle w:val="FirstParagraph"/>
      </w:pPr>
      <w:r>
        <w:t xml:space="preserve">The ablation localised direct-input reliance to psychiatric history, medication burden,</w:t>
      </w:r>
      <w:r>
        <w:t xml:space="preserve"> </w:t>
      </w:r>
      <w:r>
        <w:t xml:space="preserve">and prior treatment exposure. Those are the three concepts a clinician would nominate in</w:t>
      </w:r>
      <w:r>
        <w:t xml:space="preserve"> </w:t>
      </w:r>
      <w:r>
        <w:t xml:space="preserve">advance, and the analysis was constructed so that it could have returned a different</w:t>
      </w:r>
      <w:r>
        <w:t xml:space="preserve"> </w:t>
      </w:r>
      <w:r>
        <w:t xml:space="preserve">answer. Permuting race and ethnicity or recorded social determinants produced no</w:t>
      </w:r>
      <w:r>
        <w:t xml:space="preserve"> </w:t>
      </w:r>
      <w:r>
        <w:t xml:space="preserve">measurable loss of discrimination.</w:t>
      </w:r>
    </w:p>
    <w:p>
      <w:pPr>
        <w:pStyle w:val="BodyText"/>
      </w:pPr>
      <w:r>
        <w:t xml:space="preserve">The claim that supports is deliberately narrow. Under the tested perturbations, the</w:t>
      </w:r>
      <w:r>
        <w:t xml:space="preserve"> </w:t>
      </w:r>
      <w:r>
        <w:t xml:space="preserve">fitted embedded pipeline did not rely materially on these direct sociodemographic inputs</w:t>
      </w:r>
      <w:r>
        <w:t xml:space="preserve"> </w:t>
      </w:r>
      <w:r>
        <w:t xml:space="preserve">for overall discrimination. That is not a fairness result and should not be reported as</w:t>
      </w:r>
      <w:r>
        <w:t xml:space="preserve"> </w:t>
      </w:r>
      <w:r>
        <w:t xml:space="preserve">one. The analysis does not determine whether demographic information is indirectly</w:t>
      </w:r>
      <w:r>
        <w:t xml:space="preserve"> </w:t>
      </w:r>
      <w:r>
        <w:t xml:space="preserve">recoverable from diagnosis, medication or utilisation patterns. It does not determine</w:t>
      </w:r>
      <w:r>
        <w:t xml:space="preserve"> </w:t>
      </w:r>
      <w:r>
        <w:t xml:space="preserve">whether access-dependent treatment switching produces inequitable labels. Those are</w:t>
      </w:r>
      <w:r>
        <w:t xml:space="preserve"> </w:t>
      </w:r>
      <w:r>
        <w:t xml:space="preserve">different questions and they need different designs.</w:t>
      </w:r>
    </w:p>
    <w:p>
      <w:pPr>
        <w:pStyle w:val="BodyText"/>
      </w:pPr>
      <w:r>
        <w:t xml:space="preserve">The neighbour-weighted predictor was informative about geometry rather than competitive</w:t>
      </w:r>
      <w:r>
        <w:t xml:space="preserve"> </w:t>
      </w:r>
      <w:r>
        <w:t xml:space="preserve">as a model. Nearest-neighbour retrieval discriminated markedly better than random</w:t>
      </w:r>
      <w:r>
        <w:t xml:space="preserve"> </w:t>
      </w:r>
      <w:r>
        <w:t xml:space="preserve">retrieval, which demonstrates that proximity in the embedding is associated with TRD</w:t>
      </w:r>
      <w:r>
        <w:t xml:space="preserve"> </w:t>
      </w:r>
      <w:r>
        <w:t xml:space="preserve">risk. Retrieval choice mattered far more than weighting choice throughout. Every variant</w:t>
      </w:r>
      <w:r>
        <w:t xml:space="preserve"> </w:t>
      </w:r>
      <w:r>
        <w:t xml:space="preserve">stayed below the trained classifiers, at roughly 0.59 against roughly 0.66, so we read</w:t>
      </w:r>
      <w:r>
        <w:t xml:space="preserve"> </w:t>
      </w:r>
      <w:r>
        <w:t xml:space="preserve">retrieval as evidence of label-informative local geometry rather than as a prediction</w:t>
      </w:r>
      <w:r>
        <w:t xml:space="preserve"> </w:t>
      </w:r>
      <w:r>
        <w:t xml:space="preserve">method worth deploying.</w:t>
      </w:r>
    </w:p>
    <w:bookmarkEnd w:id="40"/>
    <w:bookmarkStart w:id="41" w:name="comparison-with-prior-work"/>
    <w:p>
      <w:pPr>
        <w:pStyle w:val="Heading2"/>
      </w:pPr>
      <w:r>
        <w:t xml:space="preserve">Comparison with prior work</w:t>
      </w:r>
    </w:p>
    <w:p>
      <w:pPr>
        <w:pStyle w:val="FirstParagraph"/>
      </w:pPr>
      <w:r>
        <w:t xml:space="preserve">Clinical-trial, registry and EHR studies have generally shown only modest separation for</w:t>
      </w:r>
      <w:r>
        <w:t xml:space="preserve"> </w:t>
      </w:r>
      <w:r>
        <w:t xml:space="preserve">treatment resistance or antidepressant response [4-8]. The structural-EHR literature</w:t>
      </w:r>
      <w:r>
        <w:t xml:space="preserve"> </w:t>
      </w:r>
      <w:r>
        <w:t xml:space="preserve">nonetheless argues against treating ROC AUC near 0.65 as a universal ceiling. Reported</w:t>
      </w:r>
      <w:r>
        <w:t xml:space="preserve"> </w:t>
      </w:r>
      <w:r>
        <w:t xml:space="preserve">discrimination varies with the phenotype definition, the prediction horizon, how close</w:t>
      </w:r>
      <w:r>
        <w:t xml:space="preserve"> </w:t>
      </w:r>
      <w:r>
        <w:t xml:space="preserve">the predictors sit to the treatment trajectory, which modalities are available, and</w:t>
      </w:r>
      <w:r>
        <w:t xml:space="preserve"> </w:t>
      </w:r>
      <w:r>
        <w:t xml:space="preserve">whether evaluation is internal or external.</w:t>
      </w:r>
    </w:p>
    <w:p>
      <w:pPr>
        <w:pStyle w:val="BodyText"/>
      </w:pPr>
      <w:r>
        <w:t xml:space="preserve">The high end of that range comes with a caveat about what was predicted from. Liberman</w:t>
      </w:r>
      <w:r>
        <w:t xml:space="preserve"> </w:t>
      </w:r>
      <w:r>
        <w:t xml:space="preserve">and colleagues linked claims and EHR data from 35,246 adults initiating antidepressant</w:t>
      </w:r>
      <w:r>
        <w:t xml:space="preserve"> </w:t>
      </w:r>
      <w:r>
        <w:t xml:space="preserve">treatment and reported ROC AUC 0.83 for incident TRD over 24 months [28]. Their</w:t>
      </w:r>
      <w:r>
        <w:t xml:space="preserve"> </w:t>
      </w:r>
      <w:r>
        <w:t xml:space="preserve">predictors included psychiatric visits, nurse contacts, prescription volume,</w:t>
      </w:r>
      <w:r>
        <w:t xml:space="preserve"> </w:t>
      </w:r>
      <w:r>
        <w:t xml:space="preserve">antidepressants attempted, anticonvulsant use, suicidality, insomnia, hypertension, and</w:t>
      </w:r>
      <w:r>
        <w:t xml:space="preserve"> </w:t>
      </w:r>
      <w:r>
        <w:t xml:space="preserve">time from diagnosis to treatment. Those features combine illness burden with the</w:t>
      </w:r>
      <w:r>
        <w:t xml:space="preserve"> </w:t>
      </w:r>
      <w:r>
        <w:t xml:space="preserve">structure and intensity of care itself.</w:t>
      </w:r>
    </w:p>
    <w:p>
      <w:pPr>
        <w:pStyle w:val="BodyText"/>
      </w:pPr>
      <w:r>
        <w:t xml:space="preserve">Externally validated estimates sit much lower. Lage and colleagues reported ROC AUC</w:t>
      </w:r>
      <w:r>
        <w:t xml:space="preserve"> </w:t>
      </w:r>
      <w:r>
        <w:t xml:space="preserve">0.652 (95% CI 0.623-0.682) with a top-quintile lift of 1.99 [29]. A smaller single-site</w:t>
      </w:r>
      <w:r>
        <w:t xml:space="preserve"> </w:t>
      </w:r>
      <w:r>
        <w:t xml:space="preserve">multimodal study found structured EHR data alone reaching 0.684, clinical notes alone</w:t>
      </w:r>
      <w:r>
        <w:t xml:space="preserve"> </w:t>
      </w:r>
      <w:r>
        <w:t xml:space="preserve">0.569, and the two combined 0.728, with imaging adding more [30]. Structural data</w:t>
      </w:r>
      <w:r>
        <w:t xml:space="preserve"> </w:t>
      </w:r>
      <w:r>
        <w:t xml:space="preserve">evidently contain meaningful signal, and genuinely incremental modalities can complement</w:t>
      </w:r>
      <w:r>
        <w:t xml:space="preserve"> </w:t>
      </w:r>
      <w:r>
        <w:t xml:space="preserve">it. Neither result establishes that converting the same structural content into text</w:t>
      </w:r>
      <w:r>
        <w:t xml:space="preserve"> </w:t>
      </w:r>
      <w:r>
        <w:t xml:space="preserve">adds information.</w:t>
      </w:r>
    </w:p>
    <w:p>
      <w:pPr>
        <w:pStyle w:val="BodyText"/>
      </w:pPr>
      <w:r>
        <w:t xml:space="preserve">Transportability looks like the more consequential constraint. In a three-health-system</w:t>
      </w:r>
      <w:r>
        <w:t xml:space="preserve"> </w:t>
      </w:r>
      <w:r>
        <w:t xml:space="preserve">study, internal ROC AUCs of 0.58 to 0.64 fell to 0.51 to 0.58 under external validation,</w:t>
      </w:r>
      <w:r>
        <w:t xml:space="preserve"> </w:t>
      </w:r>
      <w:r>
        <w:t xml:space="preserve">precision-recall performance was low, and patient-level risk estimates agreed poorly</w:t>
      </w:r>
      <w:r>
        <w:t xml:space="preserve"> </w:t>
      </w:r>
      <w:r>
        <w:t xml:space="preserve">across sites [31]. Against that background the figure reported here is most comparable</w:t>
      </w:r>
      <w:r>
        <w:t xml:space="preserve"> </w:t>
      </w:r>
      <w:r>
        <w:t xml:space="preserve">to the externally validated and single-site structural estimates. Our figure is evidence neither of a new</w:t>
      </w:r>
      <w:r>
        <w:t xml:space="preserve"> </w:t>
      </w:r>
      <w:r>
        <w:t xml:space="preserve">ceiling nor of an improvement. Higher performance elsewhere may</w:t>
      </w:r>
      <w:r>
        <w:t xml:space="preserve"> </w:t>
      </w:r>
      <w:r>
        <w:t xml:space="preserve">reflect richer or more proximal care-process variables, different windows and outcome</w:t>
      </w:r>
      <w:r>
        <w:t xml:space="preserve"> </w:t>
      </w:r>
      <w:r>
        <w:t xml:space="preserve">rules, or internal rather than external evaluation.</w:t>
      </w:r>
    </w:p>
    <w:p>
      <w:pPr>
        <w:pStyle w:val="BodyText"/>
      </w:pPr>
      <w:r>
        <w:t xml:space="preserve">The contribution of this study is therefore representational and analytic rather than a</w:t>
      </w:r>
      <w:r>
        <w:t xml:space="preserve"> </w:t>
      </w:r>
      <w:r>
        <w:t xml:space="preserve">new level of discrimination. Inside a like-for-like comparison using the same patients,</w:t>
      </w:r>
      <w:r>
        <w:t xml:space="preserve"> </w:t>
      </w:r>
      <w:r>
        <w:t xml:space="preserve">the same temporal cutoff, the same source record, the same outcome and the same held-out</w:t>
      </w:r>
      <w:r>
        <w:t xml:space="preserve"> </w:t>
      </w:r>
      <w:r>
        <w:t xml:space="preserve">split, a general-purpose transformer embedding preserved the clinically coherent signal</w:t>
      </w:r>
      <w:r>
        <w:t xml:space="preserve"> </w:t>
      </w:r>
      <w:r>
        <w:t xml:space="preserve">available to a transparent feature representation. The learner interaction, the sparse</w:t>
      </w:r>
      <w:r>
        <w:t xml:space="preserve"> </w:t>
      </w:r>
      <w:r>
        <w:t xml:space="preserve">concentration of coefficient mass, the ablation and the retrieval analyses each</w:t>
      </w:r>
      <w:r>
        <w:t xml:space="preserve"> </w:t>
      </w:r>
      <w:r>
        <w:t xml:space="preserve">characterise how that signal is organised. None of them shows that the embedding</w:t>
      </w:r>
      <w:r>
        <w:t xml:space="preserve"> </w:t>
      </w:r>
      <w:r>
        <w:t xml:space="preserve">captures a biological liability to treatment resistance, or that it improves a clinical</w:t>
      </w:r>
      <w:r>
        <w:t xml:space="preserve"> </w:t>
      </w:r>
      <w:r>
        <w:t xml:space="preserve">decision over a simpler structural model.</w:t>
      </w:r>
    </w:p>
    <w:bookmarkEnd w:id="41"/>
    <w:bookmarkStart w:id="42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outcome is the first limitation and the largest. It is a treatment-switch proxy, not</w:t>
      </w:r>
      <w:r>
        <w:t xml:space="preserve"> </w:t>
      </w:r>
      <w:r>
        <w:t xml:space="preserve">verified inadequate response to adequate trials. Dose and duration adequacy were not</w:t>
      </w:r>
      <w:r>
        <w:t xml:space="preserve"> </w:t>
      </w:r>
      <w:r>
        <w:t xml:space="preserve">confirmed for the counted treatments, and symptom measures were not systematically</w:t>
      </w:r>
      <w:r>
        <w:t xml:space="preserve"> </w:t>
      </w:r>
      <w:r>
        <w:t xml:space="preserve">available. A switch may reflect intolerance, cost, insurance constraints, fragmented</w:t>
      </w:r>
      <w:r>
        <w:t xml:space="preserve"> </w:t>
      </w:r>
      <w:r>
        <w:t xml:space="preserve">care, preference or prescriber habit as readily as non-response. Because switching</w:t>
      </w:r>
      <w:r>
        <w:t xml:space="preserve"> </w:t>
      </w:r>
      <w:r>
        <w:t xml:space="preserve">depends on continuity of care and access, which differ across groups [18,19], the label</w:t>
      </w:r>
      <w:r>
        <w:t xml:space="preserve"> </w:t>
      </w:r>
      <w:r>
        <w:t xml:space="preserve">may itself be inequitably distributed. We did not assess that, so no fairness conclusion</w:t>
      </w:r>
      <w:r>
        <w:t xml:space="preserve"> </w:t>
      </w:r>
      <w:r>
        <w:t xml:space="preserve">follows from the ablation result above.</w:t>
      </w:r>
    </w:p>
    <w:p>
      <w:pPr>
        <w:pStyle w:val="BodyText"/>
      </w:pPr>
      <w:r>
        <w:t xml:space="preserve">The design is internal validation from one health system and one period. Index dates</w:t>
      </w:r>
      <w:r>
        <w:t xml:space="preserve"> </w:t>
      </w:r>
      <w:r>
        <w:t xml:space="preserve">span 2016 to 2024 and the split is random rather than temporal. Nothing here therefore</w:t>
      </w:r>
      <w:r>
        <w:t xml:space="preserve"> </w:t>
      </w:r>
      <w:r>
        <w:t xml:space="preserve">speaks to transportability, which is where this class of model degrades most [31]. The cohort is also case-enriched by construction, so its</w:t>
      </w:r>
      <w:r>
        <w:t xml:space="preserve"> </w:t>
      </w:r>
      <w:r>
        <w:t xml:space="preserve">proportions are not health-system prevalence and the calibration estimates apply to this</w:t>
      </w:r>
      <w:r>
        <w:t xml:space="preserve"> </w:t>
      </w:r>
      <w:r>
        <w:t xml:space="preserve">sample’s outcome frequency rather than to a population.</w:t>
      </w:r>
    </w:p>
    <w:p>
      <w:pPr>
        <w:pStyle w:val="BodyText"/>
      </w:pPr>
      <w:r>
        <w:t xml:space="preserve">Two smaller limitations affect specific claims. The operating point was chosen and</w:t>
      </w:r>
      <w:r>
        <w:t xml:space="preserve"> </w:t>
      </w:r>
      <w:r>
        <w:t xml:space="preserve">evaluated in the same test set, so its sensitivity and specificity are optimistic and</w:t>
      </w:r>
      <w:r>
        <w:t xml:space="preserve"> </w:t>
      </w:r>
      <w:r>
        <w:t xml:space="preserve">descriptive rather than deployable. And the two representations were derived from the</w:t>
      </w:r>
      <w:r>
        <w:t xml:space="preserve"> </w:t>
      </w:r>
      <w:r>
        <w:t xml:space="preserve">same temporal slice without identical field inventories, so the head-to-head comparison</w:t>
      </w:r>
      <w:r>
        <w:t xml:space="preserve"> </w:t>
      </w:r>
      <w:r>
        <w:t xml:space="preserve">estimates two complete pipelines rather than the isolated effect of data format.</w:t>
      </w:r>
    </w:p>
    <w:bookmarkEnd w:id="42"/>
    <w:bookmarkStart w:id="43" w:name="X945ef4f7dd647f76b7a96614500837044a3b5e7"/>
    <w:p>
      <w:pPr>
        <w:pStyle w:val="Heading2"/>
      </w:pPr>
      <w:r>
        <w:t xml:space="preserve">Implications for validation and clinical use</w:t>
      </w:r>
    </w:p>
    <w:p>
      <w:pPr>
        <w:pStyle w:val="FirstParagraph"/>
      </w:pPr>
      <w:r>
        <w:t xml:space="preserve">Discrimination near 0.65 does not justify clinical deployment. The next evaluation should</w:t>
      </w:r>
      <w:r>
        <w:t xml:space="preserve"> </w:t>
      </w:r>
      <w:r>
        <w:t xml:space="preserve">prioritise temporal and multisite external validation with the entire representation and</w:t>
      </w:r>
      <w:r>
        <w:t xml:space="preserve"> </w:t>
      </w:r>
      <w:r>
        <w:t xml:space="preserve">preprocessing pipeline frozen. Reporting should include calibration-in-the-large,</w:t>
      </w:r>
      <w:r>
        <w:t xml:space="preserve"> </w:t>
      </w:r>
      <w:r>
        <w:t xml:space="preserve">calibration slope, precision-recall measures at the target prevalence, subgroup</w:t>
      </w:r>
      <w:r>
        <w:t xml:space="preserve"> </w:t>
      </w:r>
      <w:r>
        <w:t xml:space="preserve">calibration and error rates, and decision-curve analysis at clinically credible</w:t>
      </w:r>
      <w:r>
        <w:t xml:space="preserve"> </w:t>
      </w:r>
      <w:r>
        <w:t xml:space="preserve">intervention thresholds. Because this cohort was case-enriched, calibration has to be</w:t>
      </w:r>
      <w:r>
        <w:t xml:space="preserve"> </w:t>
      </w:r>
      <w:r>
        <w:t xml:space="preserve">re-estimated in a sampling-representative population before any absolute risk estimate is</w:t>
      </w:r>
      <w:r>
        <w:t xml:space="preserve"> </w:t>
      </w:r>
      <w:r>
        <w:t xml:space="preserve">read clinically.</w:t>
      </w:r>
    </w:p>
    <w:p>
      <w:pPr>
        <w:pStyle w:val="BodyText"/>
      </w:pPr>
      <w:r>
        <w:t xml:space="preserve">Incremental value should be tested against parsimonious baselines rather than only</w:t>
      </w:r>
      <w:r>
        <w:t xml:space="preserve"> </w:t>
      </w:r>
      <w:r>
        <w:t xml:space="preserve">against alternative architectures. The relevant comparators are outcome prevalence, age</w:t>
      </w:r>
      <w:r>
        <w:t xml:space="preserve"> </w:t>
      </w:r>
      <w:r>
        <w:t xml:space="preserve">and coded severity, prior medication history, and a compact set of psychiatric-comorbidity</w:t>
      </w:r>
      <w:r>
        <w:t xml:space="preserve"> </w:t>
      </w:r>
      <w:r>
        <w:t xml:space="preserve">and utilisation variables. A representation that does not beat those is not worth its</w:t>
      </w:r>
      <w:r>
        <w:t xml:space="preserve"> </w:t>
      </w:r>
      <w:r>
        <w:t xml:space="preserve">complexity, whatever it does against another neural model.</w:t>
      </w:r>
    </w:p>
    <w:bookmarkEnd w:id="43"/>
    <w:bookmarkStart w:id="44" w:name="conclusions"/>
    <w:p>
      <w:pPr>
        <w:pStyle w:val="Heading2"/>
      </w:pPr>
      <w:r>
        <w:t xml:space="preserve">Conclusions</w:t>
      </w:r>
    </w:p>
    <w:p>
      <w:pPr>
        <w:pStyle w:val="FirstParagraph"/>
      </w:pPr>
      <w:r>
        <w:t xml:space="preserve">An embedded representation and a feature representation extracted comparable predictive</w:t>
      </w:r>
      <w:r>
        <w:t xml:space="preserve"> </w:t>
      </w:r>
      <w:r>
        <w:t xml:space="preserve">signal from the same pre-index EHR record, and only when each was paired with a learner</w:t>
      </w:r>
      <w:r>
        <w:t xml:space="preserve"> </w:t>
      </w:r>
      <w:r>
        <w:t xml:space="preserve">suited to its geometry. The embedding’s contribution was not higher discrimination. It</w:t>
      </w:r>
      <w:r>
        <w:t xml:space="preserve"> </w:t>
      </w:r>
      <w:r>
        <w:t xml:space="preserve">was the preservation and reorganisation of clinically coherent structural information in</w:t>
      </w:r>
      <w:r>
        <w:t xml:space="preserve"> </w:t>
      </w:r>
      <w:r>
        <w:t xml:space="preserve">a dense latent space, which is a smaller claim than it is often given credit for.</w:t>
      </w:r>
    </w:p>
    <w:p>
      <w:pPr>
        <w:pStyle w:val="BodyText"/>
      </w:pPr>
      <w:r>
        <w:t xml:space="preserve">Set against prior structural-EHR work, discrimination near 0.65 is credible and</w:t>
      </w:r>
      <w:r>
        <w:t xml:space="preserve"> </w:t>
      </w:r>
      <w:r>
        <w:t xml:space="preserve">insufficient for clinical use. Four questions decide whether this line of work goes</w:t>
      </w:r>
      <w:r>
        <w:t xml:space="preserve"> </w:t>
      </w:r>
      <w:r>
        <w:t xml:space="preserve">anywhere. Whether the signal transports across health systems. Whether it adds value over</w:t>
      </w:r>
      <w:r>
        <w:t xml:space="preserve"> </w:t>
      </w:r>
      <w:r>
        <w:t xml:space="preserve">parsimonious care-history baselines. Whether it stays calibrated across subgroups. And</w:t>
      </w:r>
      <w:r>
        <w:t xml:space="preserve"> </w:t>
      </w:r>
      <w:r>
        <w:t xml:space="preserve">whether it predicts symptom-verified inadequate response rather than an access-dependent</w:t>
      </w:r>
      <w:r>
        <w:t xml:space="preserve"> </w:t>
      </w:r>
      <w:r>
        <w:t xml:space="preserve">and practice-dependent treatment trajectory.</w:t>
      </w:r>
    </w:p>
    <w:bookmarkEnd w:id="44"/>
    <w:bookmarkEnd w:id="45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Pirate-Hunter-Zoro/TRD-EH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Pirate-Hunter-Zoro/TRD-EH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2026-09-08T19:38:33Z</dcterms:created>
  <dcterms:modified xsi:type="dcterms:W3CDTF">2026-09-08T19:38:33Z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