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Cs/>
          <w:b/>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Cs/>
          <w:b/>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Cs/>
          <w:b/>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Cs/>
          <w:b/>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Cs/>
          <w:b/>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stayed below both leading classifiers at every neighborhood size. Importance-weighted retrieval reached 0.625 (95% CI 0.610–0.641) at 295 neighbors, a size chosen on the test patients. Randomly chosen neighbors reached 0.500 (2.5th–97.5th percentile across draws 0.484–0.515).</w:t>
      </w:r>
    </w:p>
    <w:p>
      <w:pPr>
        <w:pStyle w:val="BodyText"/>
      </w:pPr>
      <w:r>
        <w:rPr>
          <w:bCs/>
          <w:b/>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4"/>
    <w:bookmarkStart w:id="33"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and a random sample of patients without that flag (401,298, 80.0%).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7"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6"/>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7"/>
    <w:bookmarkStart w:id="28"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w:t>
      </w:r>
      <w:r>
        <w:t xml:space="preserve">TRD proxy</w:t>
      </w:r>
      <w:r>
        <w:t xml:space="preserve">”</w:t>
      </w:r>
      <w:r>
        <w:t xml:space="preserve"> </w:t>
      </w:r>
      <w:r>
        <w:t xml:space="preserve">rather than TRD.</w:t>
      </w:r>
    </w:p>
    <w:bookmarkEnd w:id="28"/>
    <w:bookmarkStart w:id="29"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9"/>
    <w:bookmarkStart w:id="30"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30"/>
    <w:bookmarkStart w:id="31"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We scored every k from 1 to all 34,063 training patients, under α = 1, 2, and 5. Each similarity metric was reported at its best k, the k with the highest ROC AUC in the test patients. Because k was chosen on the test patients, these values are optimistic. As a floor, random retrieval averaged the outcomes of k training patients drawn at random, with equal weights. It was scored at the same k in 1,000 seeded draws, and its interval is the 2.5th to 97.5th percentile across draws. Farthest retrieval, which averaged the 50 least similar patients, was a second negative control.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1"/>
    <w:bookmarkStart w:id="32"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2"/>
    <w:bookmarkEnd w:id="33"/>
    <w:bookmarkStart w:id="41" w:name="results"/>
    <w:p>
      <w:pPr>
        <w:pStyle w:val="Heading1"/>
      </w:pPr>
      <w:r>
        <w:t xml:space="preserve">Results</w:t>
      </w:r>
    </w:p>
    <w:bookmarkStart w:id="34"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4"/>
    <w:bookmarkStart w:id="36"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0"/>
        <w:tblLook w:firstRow="1" w:lastRow="0" w:firstColumn="0" w:lastColumn="0" w:noHBand="0" w:noVBand="0" w:val="0020"/>
      </w:tblPr>
      <w:tblGrid>
        <w:gridCol w:w="833"/>
        <w:gridCol w:w="1584"/>
        <w:gridCol w:w="1834"/>
        <w:gridCol w:w="1834"/>
        <w:gridCol w:w="1834"/>
      </w:tblGrid>
      <w:tr>
        <w:tc>
          <w:p>
            <w:pPr>
              <w:pStyle w:val="Compact"/>
              <w:jc w:val="left"/>
            </w:pPr>
            <w:r>
              <w:rPr>
                <w:bCs/>
                <w:b/>
              </w:rPr>
              <w:t xml:space="preserve">Representation</w:t>
            </w:r>
          </w:p>
        </w:tc>
        <w:tc>
          <w:p>
            <w:pPr>
              <w:pStyle w:val="Compact"/>
              <w:jc w:val="left"/>
            </w:pPr>
            <w:r>
              <w:rPr>
                <w:bCs/>
                <w:b/>
              </w:rPr>
              <w:t xml:space="preserve">Classifier</w:t>
            </w:r>
          </w:p>
        </w:tc>
        <w:tc>
          <w:p>
            <w:pPr>
              <w:pStyle w:val="Compact"/>
              <w:jc w:val="left"/>
            </w:pPr>
            <w:r>
              <w:rPr>
                <w:bCs/>
                <w:b/>
              </w:rPr>
              <w:t xml:space="preserve">ROC AUC (95% CI)</w:t>
            </w:r>
          </w:p>
        </w:tc>
        <w:tc>
          <w:p>
            <w:pPr>
              <w:pStyle w:val="Compact"/>
              <w:jc w:val="left"/>
            </w:pPr>
            <w:r>
              <w:rPr>
                <w:bCs/>
                <w:b/>
              </w:rPr>
              <w:t xml:space="preserve">AUPRC (95% CI)</w:t>
            </w:r>
          </w:p>
        </w:tc>
        <w:tc>
          <w:p>
            <w:pPr>
              <w:pStyle w:val="Compact"/>
              <w:jc w:val="left"/>
            </w:pPr>
            <w:r>
              <w:rPr>
                <w:bCs/>
                <w:b/>
              </w:rPr>
              <w:t xml:space="preserve">Brier score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 (0.281–0.325)</w:t>
            </w:r>
          </w:p>
        </w:tc>
        <w:tc>
          <w:p>
            <w:pPr>
              <w:pStyle w:val="Compact"/>
              <w:jc w:val="left"/>
            </w:pPr>
            <w:r>
              <w:t xml:space="preserve">0.137 (0.132–0.142)</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 (0.250–0.291)</w:t>
            </w:r>
          </w:p>
        </w:tc>
        <w:tc>
          <w:p>
            <w:pPr>
              <w:pStyle w:val="Compact"/>
              <w:jc w:val="left"/>
            </w:pPr>
            <w:r>
              <w:t xml:space="preserve">0.140 (0.134–0.145)</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 (0.256–0.298)</w:t>
            </w:r>
          </w:p>
        </w:tc>
        <w:tc>
          <w:p>
            <w:pPr>
              <w:pStyle w:val="Compact"/>
              <w:jc w:val="left"/>
            </w:pPr>
            <w:r>
              <w:t xml:space="preserve">0.139 (0.134–0.144)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 (0.257–0.300)</w:t>
            </w:r>
          </w:p>
        </w:tc>
        <w:tc>
          <w:p>
            <w:pPr>
              <w:pStyle w:val="Compact"/>
              <w:jc w:val="left"/>
            </w:pPr>
            <w:r>
              <w:t xml:space="preserve">0.139 (0.134–0.144)</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 (0.256–0.300)</w:t>
            </w:r>
          </w:p>
        </w:tc>
        <w:tc>
          <w:p>
            <w:pPr>
              <w:pStyle w:val="Compact"/>
              <w:jc w:val="left"/>
            </w:pPr>
            <w:r>
              <w:t xml:space="preserve">0.139 (0.134–0.144)</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 (0.271–0.315)</w:t>
            </w:r>
          </w:p>
        </w:tc>
        <w:tc>
          <w:p>
            <w:pPr>
              <w:pStyle w:val="Compact"/>
              <w:jc w:val="left"/>
            </w:pPr>
            <w:r>
              <w:t xml:space="preserve">0.139 (0.134–0.144)</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 (0.267–0.309)</w:t>
            </w:r>
          </w:p>
        </w:tc>
        <w:tc>
          <w:p>
            <w:pPr>
              <w:pStyle w:val="Compact"/>
              <w:jc w:val="left"/>
            </w:pPr>
            <w:r>
              <w:t xml:space="preserve">0.138 (0.133–0.143)</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 (0.276–0.322)</w:t>
            </w:r>
          </w:p>
        </w:tc>
        <w:tc>
          <w:p>
            <w:pPr>
              <w:pStyle w:val="Compact"/>
              <w:jc w:val="lef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cohort’s positive-rate reference of 0.175.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36"/>
    <w:bookmarkStart w:id="3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rPr>
                <w:bCs/>
                <w:b/>
              </w:rPr>
              <w:t xml:space="preserve">Permuted concept</w:t>
            </w:r>
          </w:p>
        </w:tc>
        <w:tc>
          <w:p>
            <w:pPr>
              <w:pStyle w:val="Compact"/>
              <w:jc w:val="left"/>
            </w:pPr>
            <w:r>
              <w:rPr>
                <w:bCs/>
                <w:b/>
              </w:rPr>
              <w:t xml:space="preserve">LR</w:t>
            </w:r>
          </w:p>
        </w:tc>
        <w:tc>
          <w:p>
            <w:pPr>
              <w:pStyle w:val="Compact"/>
              <w:jc w:val="left"/>
            </w:pPr>
            <w:r>
              <w:rPr>
                <w:bCs/>
                <w:b/>
              </w:rPr>
              <w:t xml:space="preserve">RF</w:t>
            </w:r>
          </w:p>
        </w:tc>
        <w:tc>
          <w:p>
            <w:pPr>
              <w:pStyle w:val="Compact"/>
              <w:jc w:val="left"/>
            </w:pPr>
            <w:r>
              <w:rPr>
                <w:bCs/>
                <w:b/>
              </w:rPr>
              <w:t xml:space="preserve">GB</w:t>
            </w:r>
          </w:p>
        </w:tc>
        <w:tc>
          <w:p>
            <w:pPr>
              <w:pStyle w:val="Compact"/>
              <w:jc w:val="left"/>
            </w:pPr>
            <w:r>
              <w:rPr>
                <w:bCs/>
                <w:b/>
              </w:rPr>
              <w:t xml:space="preserve">XGB</w:t>
            </w:r>
          </w:p>
        </w:tc>
      </w:tr>
      <w:tr>
        <w:tc>
          <w:p>
            <w:pPr>
              <w:pStyle w:val="Compact"/>
              <w:jc w:val="left"/>
            </w:pPr>
            <w:r>
              <w:t xml:space="preserve">Psychiatric history</w:t>
            </w:r>
          </w:p>
        </w:tc>
        <w:tc>
          <w:p>
            <w:pPr>
              <w:pStyle w:val="Compact"/>
              <w:jc w:val="left"/>
            </w:pPr>
            <w:r>
              <w:t xml:space="preserve">−0.028 (−0.039 to −0.017)</w:t>
            </w:r>
          </w:p>
        </w:tc>
        <w:tc>
          <w:p>
            <w:pPr>
              <w:pStyle w:val="Compact"/>
              <w:jc w:val="left"/>
            </w:pPr>
            <w:r>
              <w:t xml:space="preserve">−0.027 (−0.039 to −0.013)</w:t>
            </w:r>
          </w:p>
        </w:tc>
        <w:tc>
          <w:p>
            <w:pPr>
              <w:pStyle w:val="Compact"/>
              <w:jc w:val="left"/>
            </w:pPr>
            <w:r>
              <w:t xml:space="preserve">−0.024 (−0.036 to −0.010)</w:t>
            </w:r>
          </w:p>
        </w:tc>
        <w:tc>
          <w:p>
            <w:pPr>
              <w:pStyle w:val="Compact"/>
              <w:jc w:val="left"/>
            </w:pPr>
            <w:r>
              <w:t xml:space="preserve">−0.027 (−0.039 to −0.014)</w:t>
            </w:r>
          </w:p>
        </w:tc>
      </w:tr>
      <w:tr>
        <w:tc>
          <w:p>
            <w:pPr>
              <w:pStyle w:val="Compact"/>
              <w:jc w:val="left"/>
            </w:pPr>
            <w:r>
              <w:t xml:space="preserve">Medication burden</w:t>
            </w:r>
          </w:p>
        </w:tc>
        <w:tc>
          <w:p>
            <w:pPr>
              <w:pStyle w:val="Compact"/>
              <w:jc w:val="left"/>
            </w:pPr>
            <w:r>
              <w:t xml:space="preserve">−0.027 (−0.037 to −0.018)</w:t>
            </w:r>
          </w:p>
        </w:tc>
        <w:tc>
          <w:p>
            <w:pPr>
              <w:pStyle w:val="Compact"/>
              <w:jc w:val="left"/>
            </w:pPr>
            <w:r>
              <w:t xml:space="preserve">−0.003 (−0.011 to +0.004)</w:t>
            </w:r>
          </w:p>
        </w:tc>
        <w:tc>
          <w:p>
            <w:pPr>
              <w:pStyle w:val="Compact"/>
              <w:jc w:val="left"/>
            </w:pPr>
            <w:r>
              <w:t xml:space="preserve">−0.014 (−0.023 to −0.006)</w:t>
            </w:r>
          </w:p>
        </w:tc>
        <w:tc>
          <w:p>
            <w:pPr>
              <w:pStyle w:val="Compact"/>
              <w:jc w:val="left"/>
            </w:pPr>
            <w:r>
              <w:t xml:space="preserve">−0.017 (−0.026 to −0.008)</w:t>
            </w:r>
          </w:p>
        </w:tc>
      </w:tr>
      <w:tr>
        <w:tc>
          <w:p>
            <w:pPr>
              <w:pStyle w:val="Compact"/>
              <w:jc w:val="left"/>
            </w:pPr>
            <w:r>
              <w:t xml:space="preserve">Treatment exposure</w:t>
            </w:r>
          </w:p>
        </w:tc>
        <w:tc>
          <w:p>
            <w:pPr>
              <w:pStyle w:val="Compact"/>
              <w:jc w:val="left"/>
            </w:pPr>
            <w:r>
              <w:t xml:space="preserve">−0.019 (−0.027 to −0.011)</w:t>
            </w:r>
          </w:p>
        </w:tc>
        <w:tc>
          <w:p>
            <w:pPr>
              <w:pStyle w:val="Compact"/>
              <w:jc w:val="left"/>
            </w:pPr>
            <w:r>
              <w:t xml:space="preserve">+0.000 (−0.008 to +0.009)</w:t>
            </w:r>
          </w:p>
        </w:tc>
        <w:tc>
          <w:p>
            <w:pPr>
              <w:pStyle w:val="Compact"/>
              <w:jc w:val="left"/>
            </w:pPr>
            <w:r>
              <w:t xml:space="preserve">−0.006 (−0.014 to +0.003)</w:t>
            </w:r>
          </w:p>
        </w:tc>
        <w:tc>
          <w:p>
            <w:pPr>
              <w:pStyle w:val="Compact"/>
              <w:jc w:val="left"/>
            </w:pPr>
            <w:r>
              <w:t xml:space="preserve">−0.011 (−0.020 to −0.003)</w:t>
            </w:r>
          </w:p>
        </w:tc>
      </w:tr>
      <w:tr>
        <w:tc>
          <w:p>
            <w:pPr>
              <w:pStyle w:val="Compact"/>
              <w:jc w:val="left"/>
            </w:pPr>
            <w:r>
              <w:t xml:space="preserve">Treatment contraindications</w:t>
            </w:r>
          </w:p>
        </w:tc>
        <w:tc>
          <w:p>
            <w:pPr>
              <w:pStyle w:val="Compact"/>
              <w:jc w:val="left"/>
            </w:pPr>
            <w:r>
              <w:t xml:space="preserve">−0.002 (−0.004 to +0.001)</w:t>
            </w:r>
          </w:p>
        </w:tc>
        <w:tc>
          <w:p>
            <w:pPr>
              <w:pStyle w:val="Compact"/>
              <w:jc w:val="left"/>
            </w:pPr>
            <w:r>
              <w:t xml:space="preserve">+0.001 (−0.002 to +0.004)</w:t>
            </w:r>
          </w:p>
        </w:tc>
        <w:tc>
          <w:p>
            <w:pPr>
              <w:pStyle w:val="Compact"/>
              <w:jc w:val="left"/>
            </w:pPr>
            <w:r>
              <w:t xml:space="preserve">−0.001 (−0.005 to +0.003)</w:t>
            </w:r>
          </w:p>
        </w:tc>
        <w:tc>
          <w:p>
            <w:pPr>
              <w:pStyle w:val="Compact"/>
              <w:jc w:val="left"/>
            </w:pPr>
            <w:r>
              <w:t xml:space="preserve">−0.005 (−0.008 to −0.001)</w:t>
            </w:r>
          </w:p>
        </w:tc>
      </w:tr>
      <w:tr>
        <w:tc>
          <w:p>
            <w:pPr>
              <w:pStyle w:val="Compact"/>
              <w:jc w:val="left"/>
            </w:pPr>
            <w:r>
              <w:t xml:space="preserve">Social determinants (SDOH)</w:t>
            </w:r>
          </w:p>
        </w:tc>
        <w:tc>
          <w:p>
            <w:pPr>
              <w:pStyle w:val="Compact"/>
              <w:jc w:val="left"/>
            </w:pPr>
            <w:r>
              <w:t xml:space="preserve">−0.000 (−0.001 to +0.000)</w:t>
            </w:r>
          </w:p>
        </w:tc>
        <w:tc>
          <w:p>
            <w:pPr>
              <w:pStyle w:val="Compact"/>
              <w:jc w:val="left"/>
            </w:pPr>
            <w:r>
              <w:t xml:space="preserve">+0.000 (−0.001 to +0.001)</w:t>
            </w:r>
          </w:p>
        </w:tc>
        <w:tc>
          <w:p>
            <w:pPr>
              <w:pStyle w:val="Compact"/>
              <w:jc w:val="left"/>
            </w:pPr>
            <w:r>
              <w:t xml:space="preserve">+0.000 (−0.001 to +0.001)</w:t>
            </w:r>
          </w:p>
        </w:tc>
        <w:tc>
          <w:p>
            <w:pPr>
              <w:pStyle w:val="Compact"/>
              <w:jc w:val="left"/>
            </w:pPr>
            <w:r>
              <w:t xml:space="preserve">+0.001 (−0.001 to +0.002)</w:t>
            </w:r>
          </w:p>
        </w:tc>
      </w:tr>
      <w:tr>
        <w:tc>
          <w:p>
            <w:pPr>
              <w:pStyle w:val="Compact"/>
              <w:jc w:val="left"/>
            </w:pPr>
            <w:r>
              <w:t xml:space="preserve">Race/ethnicity</w:t>
            </w:r>
          </w:p>
        </w:tc>
        <w:tc>
          <w:p>
            <w:pPr>
              <w:pStyle w:val="Compact"/>
              <w:jc w:val="left"/>
            </w:pPr>
            <w:r>
              <w:t xml:space="preserve">−0.000 (−0.002 to +0.002)</w:t>
            </w:r>
          </w:p>
        </w:tc>
        <w:tc>
          <w:p>
            <w:pPr>
              <w:pStyle w:val="Compact"/>
              <w:jc w:val="left"/>
            </w:pPr>
            <w:r>
              <w:t xml:space="preserve">+0.000 (−0.003 to +0.003)</w:t>
            </w:r>
          </w:p>
        </w:tc>
        <w:tc>
          <w:p>
            <w:pPr>
              <w:pStyle w:val="Compact"/>
              <w:jc w:val="left"/>
            </w:pPr>
            <w:r>
              <w:t xml:space="preserve">−0.003 (−0.006 to +0.001)</w:t>
            </w:r>
          </w:p>
        </w:tc>
        <w:tc>
          <w:p>
            <w:pPr>
              <w:pStyle w:val="Compact"/>
              <w:jc w:val="lef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37"/>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8"/>
    <w:bookmarkStart w:id="40" w:name="retrieval-and-subgroup-performance"/>
    <w:p>
      <w:pPr>
        <w:pStyle w:val="Heading2"/>
      </w:pPr>
      <w:r>
        <w:t xml:space="preserve">Retrieval and Subgroup Performance</w:t>
      </w:r>
    </w:p>
    <w:p>
      <w:pPr>
        <w:pStyle w:val="FirstParagraph"/>
      </w:pPr>
      <w:r>
        <w:t xml:space="preserve">Random retrieval stayed at chance at every k: at its best k, 32,720, it reached 0.500 (2.5th–97.5th percentile across draws 0.484–0.515). Farthest retrieval yielded 0.432 (95% CI 0.416–0.449). Neighborhood size mattered more than the similarity metric (Figure 4). Discrimination rose with k up to a few hundred neighbors. From k = 261 onward, importance-weighted retrieval stayed inside the interval at its best k. Plain cosine retrieval peaked at k = 757 and then drifted down, to 0.605 (95% CI 0.589–0.620) at k = 16,988. At its best k, importance-weighted retrieval reached 0.625 (95% CI 0.610–0.641) at k = 295, and plain cosine 0.618 (95% CI 0.602–0.634) at k = 757. They exceeded random retrieval by 0.125 (95% CI 0.103–0.147) and 0.118 (95% CI 0.096–0.140), respectively. The paired difference between the 2 metrics was 0.007 (95% CI −0.001 to 0.014). The best retrieval result over every k and exponent was importance-weighted retrieval with α = 2 at k = 1,090, 0.625 (95% CI 0.610–0.640). It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(95% CI 0.607–0.639) for importance-weighted retrieval and 0.608 (95% CI 0.592–0.624) for plain cosine (Multimedia Appendix 1, section S6).</w:t>
      </w:r>
    </w:p>
    <w:p>
      <w:pPr>
        <w:pStyle w:val="BodyText"/>
      </w:pPr>
      <w:r>
        <w:drawing>
          <wp:inline>
            <wp:extent cx="5486400" cy="2893276"/>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39"/>
                    <a:stretch>
                      <a:fillRect/>
                    </a:stretch>
                  </pic:blipFill>
                  <pic:spPr bwMode="auto">
                    <a:xfrm>
                      <a:off x="0" y="0"/>
                      <a:ext cx="5486400" cy="2893276"/>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at every k from 1 to 34,063 for importance-weighted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Sex contrasts did not show clear differences. White-minus-non-White ROC AUC differences were consistently positive (0.005–0.046),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40"/>
    <w:bookmarkEnd w:id="41"/>
    <w:bookmarkStart w:id="47" w:name="discussion"/>
    <w:p>
      <w:pPr>
        <w:pStyle w:val="Heading1"/>
      </w:pPr>
      <w:r>
        <w:t xml:space="preserve">Discussion</w:t>
      </w:r>
    </w:p>
    <w:bookmarkStart w:id="42"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2"/>
    <w:bookmarkStart w:id="43"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3"/>
    <w:bookmarkStart w:id="44"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4"/>
    <w:bookmarkStart w:id="45"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5"/>
    <w:bookmarkStart w:id="46"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46"/>
    <w:bookmarkEnd w:id="47"/>
    <w:bookmarkStart w:id="48" w:name="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48"/>
    <w:bookmarkStart w:id="49"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49"/>
    <w:bookmarkStart w:id="50" w:name="conflicts-of-interest"/>
    <w:p>
      <w:pPr>
        <w:pStyle w:val="Heading1"/>
      </w:pPr>
      <w:r>
        <w:t xml:space="preserve">Conflicts of Interest</w:t>
      </w:r>
    </w:p>
    <w:p>
      <w:pPr>
        <w:pStyle w:val="FirstParagraph"/>
      </w:pPr>
      <w:r>
        <w:t xml:space="preserve">None declared.</w:t>
      </w:r>
    </w:p>
    <w:bookmarkEnd w:id="50"/>
    <w:bookmarkStart w:id="51" w:name="data-availability"/>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1"/>
    <w:bookmarkStart w:id="52"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2"/>
    <w:bookmarkStart w:id="53"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3"/>
    <w:bookmarkStart w:id="54"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4"/>
    <w:bookmarkStart w:id="55"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5"/>
    <w:bookmarkStart w:id="56"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5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6" Target="media/rId26.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2026-09-30T04:35:06Z</dcterms:created>
  <dcterms:modified xsi:type="dcterms:W3CDTF">2026-09-30T04:35:06Z</dcterms:modified>
</cp:coreProperties>
</file>

<file path=docProps/custom.xml><?xml version="1.0" encoding="utf-8"?>
<Properties xmlns="http://schemas.openxmlformats.org/officeDocument/2006/custom-properties" xmlns:vt="http://schemas.openxmlformats.org/officeDocument/2006/docPropsVTypes"/>
</file>