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methods"/>
    <w:p>
      <w:pPr>
        <w:pStyle w:val="Heading1"/>
      </w:pPr>
      <w:r>
        <w:t xml:space="preserve">Methods</w:t>
      </w:r>
    </w:p>
    <w:bookmarkStart w:id="20"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and a random sample of patients without that flag (401,298, 80.0%).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20"/>
    <w:bookmarkStart w:id="22"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1" name="Picture"/>
            <a:graphic>
              <a:graphicData uri="http://schemas.openxmlformats.org/drawingml/2006/picture">
                <pic:pic>
                  <pic:nvPicPr>
                    <pic:cNvPr descr="../results/Qwen-Qwen3-Embedding-8B/google_medgemma-27b-text-it/time_zero_timeline.png" id="0" name="Picture"/>
                    <pic:cNvPicPr>
                      <a:picLocks noChangeArrowheads="1" noChangeAspect="1"/>
                    </pic:cNvPicPr>
                  </pic:nvPicPr>
                  <pic:blipFill>
                    <a:blip r:embed="rId21"/>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Cs/>
          <w:b/>
          <w:iCs/>
          <w:i/>
        </w:rPr>
        <w:t xml:space="preserve">Figure 1.</w:t>
      </w:r>
      <w:r>
        <w:rPr>
          <w:iCs/>
          <w:i/>
        </w:rPr>
        <w:t xml:space="preserve"> </w:t>
      </w:r>
      <w:r>
        <w:rPr>
          <w:iCs/>
          <w:i/>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22"/>
    <w:bookmarkStart w:id="23"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w:t>
      </w:r>
      <w:r>
        <w:t xml:space="preserve">TRD proxy</w:t>
      </w:r>
      <w:r>
        <w:t xml:space="preserve">”</w:t>
      </w:r>
      <w:r>
        <w:t xml:space="preserve"> </w:t>
      </w:r>
      <w:r>
        <w:t xml:space="preserve">rather than TRD.</w:t>
      </w:r>
    </w:p>
    <w:bookmarkEnd w:id="23"/>
    <w:bookmarkStart w:id="24"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4"/>
    <w:bookmarkStart w:id="25"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25"/>
    <w:bookmarkStart w:id="26"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Importance-weighted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no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We scored every k from 1 to all 34,063 training patients, under α = 1, 2, and 5. Each similarity metric was reported at its best k, the k with the highest ROC AUC in the test patients. Because k was chosen on the test patients, these values are optimistic. As a floor, random retrieval averaged the outcomes of k training patients drawn at random, with equal weights. It was scored at the same k in 1,000 seeded draws, and its interval is the 2.5th to 97.5th percentile across draws. Farthest retrieval, which averaged the 50 least similar patients, was a second negative control. Details appear in Multimedia Appendix 1, sections M10–M12 and S6.</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26"/>
    <w:bookmarkStart w:id="27"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27"/>
    <w:bookmarkEnd w:id="28"/>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2026-09-30T04:37:50Z</dcterms:created>
  <dcterms:modified xsi:type="dcterms:W3CDTF">2026-09-30T04:37:50Z</dcterms:modified>
</cp:coreProperties>
</file>

<file path=docProps/custom.xml><?xml version="1.0" encoding="utf-8"?>
<Properties xmlns="http://schemas.openxmlformats.org/officeDocument/2006/custom-properties" xmlns:vt="http://schemas.openxmlformats.org/officeDocument/2006/docPropsVTypes"/>
</file>