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t xml:space="preserve">AUPRC: area under the precision–recall curve</w:t>
      </w:r>
    </w:p>
    <w:p>
      <w:pPr>
        <w:pStyle w:val="BodyText"/>
      </w:pPr>
      <w:r>
        <w:t xml:space="preserve">EHR: electronic health record</w:t>
      </w:r>
    </w:p>
    <w:p>
      <w:pPr>
        <w:pStyle w:val="BodyText"/>
      </w:pPr>
      <w:r>
        <w:t xml:space="preserve">MDD: major depressive disorder</w:t>
      </w:r>
    </w:p>
    <w:p>
      <w:pPr>
        <w:pStyle w:val="BodyText"/>
      </w:pPr>
      <w:r>
        <w:t xml:space="preserve">ROC AUC: area under the receiver operating characteristic curve</w:t>
      </w:r>
    </w:p>
    <w:p>
      <w:pPr>
        <w:pStyle w:val="BodyText"/>
      </w:pPr>
      <w:r>
        <w:t xml:space="preserve">TRD: treatment-resistant depression</w:t>
      </w:r>
    </w:p>
    <w:p>
      <w:pPr>
        <w:pStyle w:val="BodyText"/>
      </w:pPr>
      <w:r>
        <w:t xml:space="preserve">TRIPOD+AI: Transparent Reporting of a Multivariable Prediction Model for Individual Prognosis or Diagnosis plus Artificial Intelligence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2026-09-30T04:37:52Z</dcterms:created>
  <dcterms:modified xsi:type="dcterms:W3CDTF">2026-09-30T04:37:52Z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