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0-neighbor-prediction"/>
    <w:p>
      <w:pPr>
        <w:pStyle w:val="Heading1"/>
      </w:pPr>
      <w:r>
        <w:t xml:space="preserve">M10 Neighbor Prediction</w:t>
      </w:r>
    </w:p>
    <w:p>
      <w:pPr>
        <w:pStyle w:val="FirstParagraph"/>
      </w:pPr>
      <w:r>
        <w:t xml:space="preserve">For EMBEDDED only, the predicted TRD probability for query patient q was the similarity-weighted mean of binary TRD labels among its k retrieved training neighbors: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t>R</m:t>
          </m:r>
          <m:r>
            <m:t>D</m:t>
          </m:r>
          <m:r>
            <m:rPr>
              <m:sty m:val="p"/>
            </m:rPr>
            <m:t>∣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neighbor</w:t>
      </w:r>
      <w:r>
        <w:t xml:space="preserve"> </w:t>
      </w:r>
      <m:oMath>
        <m:r>
          <m:t>i</m:t>
        </m:r>
      </m:oMath>
      <w:r>
        <w:t xml:space="preserve">’s TRD label,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similarity to q,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 sharpening exponent. Neighborhood concentration was summarized by the effective sample size,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 all weights are equal and falls as weight concentrates on fewer neighbors.</w:t>
      </w:r>
    </w:p>
    <w:p>
      <w:pPr>
        <w:pStyle w:val="BodyText"/>
      </w:pPr>
      <w:r>
        <w:t xml:space="preserve">Two similarity metrics were compared. Plain cosine similarity used the raw embeddings. Importance-weighted cosine similarity standardized each dimension with the embedded logistic regression’s own scaler,</w:t>
      </w:r>
      <w: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d</m:t>
            </m:r>
          </m:sub>
        </m:sSub>
      </m:oMath>
      <w:r>
        <w:t xml:space="preserve">, and weighted dimension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by its share of that model’s absolute coefficients: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e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coefficients came from the model fitted on training patients, so no test outcome entered a risk score. The metric is supervised, whereas plain cosine similarity is not. Of 4,096 dimensions, 385 had non-zero coefficients, and the top 41 (1%) carried 31% of the absolute coefficient mass.</w:t>
      </w:r>
    </w:p>
    <w:p>
      <w:pPr>
        <w:pStyle w:val="BodyText"/>
      </w:pPr>
      <w:r>
        <w:t xml:space="preserve">A sweep evaluated every k from 1 to all 34,063 training patients for both metrics, under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1, 2, and 5. Nearest retrieval selected the k most similar training patients. Each metric was reported at its best k, the k with the highest test AUC, the smallest on a tie: 295 for importance-weighted and 757 for plain cosine similarity, under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1. Random retrieval drew k training patients at random for each test patient and averaged their outcomes with equal weights. It was scored at every k, nested so that k + 1 neighbors extend the k already drawn, and repeated in 1,000 draws seeded from the study seed; its band at each k is the 2.5th to 97.5th percentile of the AUC across draws, and its best k is the highest mean across draws. Farthest retrieval, which selected the 50 least similar patients, served as a second negative control. It has no best k of its own: adding neighbors only moves it toward the all-patients value of the nearest arms. Every best k was selected on the test patients, so the values at it are optimistic. These analyses were restricted to embeddings; no mixed-data similarity metric was specified for FEATURE.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2026-09-30T04:37:55Z</dcterms:created>
  <dcterms:modified xsi:type="dcterms:W3CDTF">2026-09-30T04:37:55Z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