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20"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each at its own best k from section S6: nearest retrieval under plain cosine similarity (k = 757) and under importance-weighted similarity (k = 295), and 2 controls, uniform random retrieval (k = 32,720) and farthest retrieval (k = 50). Between-group contrasts included the 2 nearest-neighbor configurations and excluded the controls.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20"/>
    <w:bookmarkStart w:id="21"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left"/>
            </w:pPr>
            <w:r>
              <w:t xml:space="preserve">0.657 (0.643–0.672)</w:t>
            </w:r>
          </w:p>
        </w:tc>
        <w:tc>
          <w:p>
            <w:pPr>
              <w:pStyle w:val="Compact"/>
              <w:jc w:val="left"/>
            </w:pPr>
            <w:r>
              <w:t xml:space="preserve">0.137 (0.132–0.142)</w:t>
            </w:r>
          </w:p>
        </w:tc>
        <w:tc>
          <w:p>
            <w:pPr>
              <w:pStyle w:val="Compact"/>
              <w:jc w:val="left"/>
            </w:pPr>
            <w:r>
              <w:t xml:space="preserve">0.97 (0.88–1.06)</w:t>
            </w:r>
          </w:p>
        </w:tc>
        <w:tc>
          <w:p>
            <w:pPr>
              <w:pStyle w:val="Compact"/>
              <w:jc w:val="left"/>
            </w:pPr>
            <w:r>
              <w:t xml:space="preserve">+0.000 (−0.007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left"/>
            </w:pPr>
            <w:r>
              <w:t xml:space="preserve">0.629 (0.613–0.644)</w:t>
            </w:r>
          </w:p>
        </w:tc>
        <w:tc>
          <w:p>
            <w:pPr>
              <w:pStyle w:val="Compact"/>
              <w:jc w:val="left"/>
            </w:pPr>
            <w:r>
              <w:t xml:space="preserve">0.139 (0.134–0.144)</w:t>
            </w:r>
          </w:p>
        </w:tc>
        <w:tc>
          <w:p>
            <w:pPr>
              <w:pStyle w:val="Compact"/>
              <w:jc w:val="left"/>
            </w:pPr>
            <w:r>
              <w:t xml:space="preserve">0.95 (0.84–1.05)</w:t>
            </w:r>
          </w:p>
        </w:tc>
        <w:tc>
          <w:p>
            <w:pPr>
              <w:pStyle w:val="Compact"/>
              <w:jc w:val="left"/>
            </w:pPr>
            <w:r>
              <w:t xml:space="preserve">−0.000 (−0.008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left"/>
            </w:pPr>
            <w:r>
              <w:t xml:space="preserve">0.625 (0.610–0.641)</w:t>
            </w:r>
          </w:p>
        </w:tc>
        <w:tc>
          <w:p>
            <w:pPr>
              <w:pStyle w:val="Compact"/>
              <w:jc w:val="left"/>
            </w:pPr>
            <w:r>
              <w:t xml:space="preserve">0.140 (0.134–0.145)</w:t>
            </w:r>
          </w:p>
        </w:tc>
        <w:tc>
          <w:p>
            <w:pPr>
              <w:pStyle w:val="Compact"/>
              <w:jc w:val="left"/>
            </w:pPr>
            <w:r>
              <w:t xml:space="preserve">1.15 (1.01–1.29)</w:t>
            </w:r>
          </w:p>
        </w:tc>
        <w:tc>
          <w:p>
            <w:pPr>
              <w:pStyle w:val="Compact"/>
              <w:jc w:val="left"/>
            </w:pPr>
            <w:r>
              <w:t xml:space="preserve">−0.004 (−0.012 to +0.005)</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left"/>
            </w:pPr>
            <w:r>
              <w:t xml:space="preserve">0.653 (0.622–0.682)</w:t>
            </w:r>
          </w:p>
        </w:tc>
        <w:tc>
          <w:p>
            <w:pPr>
              <w:pStyle w:val="Compact"/>
              <w:jc w:val="left"/>
            </w:pPr>
            <w:r>
              <w:t xml:space="preserve">0.131 (0.121–0.140)</w:t>
            </w:r>
          </w:p>
        </w:tc>
        <w:tc>
          <w:p>
            <w:pPr>
              <w:pStyle w:val="Compact"/>
              <w:jc w:val="left"/>
            </w:pPr>
            <w:r>
              <w:t xml:space="preserve">0.94 (0.76–1.13)</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left"/>
            </w:pPr>
            <w:r>
              <w:t xml:space="preserve">0.626 (0.595–0.655)</w:t>
            </w:r>
          </w:p>
        </w:tc>
        <w:tc>
          <w:p>
            <w:pPr>
              <w:pStyle w:val="Compact"/>
              <w:jc w:val="left"/>
            </w:pPr>
            <w:r>
              <w:t xml:space="preserve">0.133 (0.123–0.143)</w:t>
            </w:r>
          </w:p>
        </w:tc>
        <w:tc>
          <w:p>
            <w:pPr>
              <w:pStyle w:val="Compact"/>
              <w:jc w:val="left"/>
            </w:pPr>
            <w:r>
              <w:t xml:space="preserve">0.86 (0.65–1.07)</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left"/>
            </w:pPr>
            <w:r>
              <w:t xml:space="preserve">0.625 (0.595–0.653)</w:t>
            </w:r>
          </w:p>
        </w:tc>
        <w:tc>
          <w:p>
            <w:pPr>
              <w:pStyle w:val="Compact"/>
              <w:jc w:val="left"/>
            </w:pPr>
            <w:r>
              <w:t xml:space="preserve">0.133 (0.124–0.142)</w:t>
            </w:r>
          </w:p>
        </w:tc>
        <w:tc>
          <w:p>
            <w:pPr>
              <w:pStyle w:val="Compact"/>
              <w:jc w:val="left"/>
            </w:pPr>
            <w:r>
              <w:t xml:space="preserve">1.04 (0.78–1.28)</w:t>
            </w:r>
          </w:p>
        </w:tc>
        <w:tc>
          <w:p>
            <w:pPr>
              <w:pStyle w:val="Compact"/>
              <w:jc w:val="left"/>
            </w:pPr>
            <w:r>
              <w:t xml:space="preserve">−0.001 (−0.014 to +0.013)</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left"/>
            </w:pPr>
            <w:r>
              <w:t xml:space="preserve">0.658 (0.641–0.675)</w:t>
            </w:r>
          </w:p>
        </w:tc>
        <w:tc>
          <w:p>
            <w:pPr>
              <w:pStyle w:val="Compact"/>
              <w:jc w:val="left"/>
            </w:pPr>
            <w:r>
              <w:t xml:space="preserve">0.139 (0.134–0.145)</w:t>
            </w:r>
          </w:p>
        </w:tc>
        <w:tc>
          <w:p>
            <w:pPr>
              <w:pStyle w:val="Compact"/>
              <w:jc w:val="left"/>
            </w:pPr>
            <w:r>
              <w:t xml:space="preserve">0.98 (0.87–1.09)</w:t>
            </w:r>
          </w:p>
        </w:tc>
        <w:tc>
          <w:p>
            <w:pPr>
              <w:pStyle w:val="Compact"/>
              <w:jc w:val="left"/>
            </w:pPr>
            <w:r>
              <w:t xml:space="preserve">+0.002 (−0.007 to +0.011)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left"/>
            </w:pPr>
            <w:r>
              <w:t xml:space="preserve">0.630 (0.612–0.648)</w:t>
            </w:r>
          </w:p>
        </w:tc>
        <w:tc>
          <w:p>
            <w:pPr>
              <w:pStyle w:val="Compact"/>
              <w:jc w:val="left"/>
            </w:pPr>
            <w:r>
              <w:t xml:space="preserve">0.141 (0.136–0.147)</w:t>
            </w:r>
          </w:p>
        </w:tc>
        <w:tc>
          <w:p>
            <w:pPr>
              <w:pStyle w:val="Compact"/>
              <w:jc w:val="left"/>
            </w:pPr>
            <w:r>
              <w:t xml:space="preserve">0.99 (0.86–1.12)</w:t>
            </w:r>
          </w:p>
        </w:tc>
        <w:tc>
          <w:p>
            <w:pPr>
              <w:pStyle w:val="Compact"/>
              <w:jc w:val="left"/>
            </w:pPr>
            <w:r>
              <w:t xml:space="preserve">+0.001 (−0.008 to +0.010)</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left"/>
            </w:pPr>
            <w:r>
              <w:t xml:space="preserve">0.624 (0.607–0.642)</w:t>
            </w:r>
          </w:p>
        </w:tc>
        <w:tc>
          <w:p>
            <w:pPr>
              <w:pStyle w:val="Compact"/>
              <w:jc w:val="left"/>
            </w:pPr>
            <w:r>
              <w:t xml:space="preserve">0.142 (0.136–0.148)</w:t>
            </w:r>
          </w:p>
        </w:tc>
        <w:tc>
          <w:p>
            <w:pPr>
              <w:pStyle w:val="Compact"/>
              <w:jc w:val="left"/>
            </w:pPr>
            <w:r>
              <w:t xml:space="preserve">1.20 (1.04–1.37)</w:t>
            </w:r>
          </w:p>
        </w:tc>
        <w:tc>
          <w:p>
            <w:pPr>
              <w:pStyle w:val="Compact"/>
              <w:jc w:val="left"/>
            </w:pPr>
            <w:r>
              <w:t xml:space="preserve">−0.005 (−0.013 to +0.004)</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left"/>
            </w:pPr>
            <w:r>
              <w:t xml:space="preserve">0.657 (0.640–0.674)</w:t>
            </w:r>
          </w:p>
        </w:tc>
        <w:tc>
          <w:p>
            <w:pPr>
              <w:pStyle w:val="Compact"/>
              <w:jc w:val="left"/>
            </w:pPr>
            <w:r>
              <w:t xml:space="preserve">0.136 (0.130–0.141)</w:t>
            </w:r>
          </w:p>
        </w:tc>
        <w:tc>
          <w:p>
            <w:pPr>
              <w:pStyle w:val="Compact"/>
              <w:jc w:val="left"/>
            </w:pPr>
            <w:r>
              <w:t xml:space="preserve">0.97 (0.87–1.08)</w:t>
            </w:r>
          </w:p>
        </w:tc>
        <w:tc>
          <w:p>
            <w:pPr>
              <w:pStyle w:val="Compact"/>
              <w:jc w:val="left"/>
            </w:pPr>
            <w:r>
              <w:t xml:space="preserve">+0.002 (−0.007 to +0.010)</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left"/>
            </w:pPr>
            <w:r>
              <w:t xml:space="preserve">0.633 (0.615–0.652)</w:t>
            </w:r>
          </w:p>
        </w:tc>
        <w:tc>
          <w:p>
            <w:pPr>
              <w:pStyle w:val="Compact"/>
              <w:jc w:val="left"/>
            </w:pPr>
            <w:r>
              <w:t xml:space="preserve">0.137 (0.132–0.143)</w:t>
            </w:r>
          </w:p>
        </w:tc>
        <w:tc>
          <w:p>
            <w:pPr>
              <w:pStyle w:val="Compact"/>
              <w:jc w:val="left"/>
            </w:pPr>
            <w:r>
              <w:t xml:space="preserve">0.98 (0.84–1.11)</w:t>
            </w:r>
          </w:p>
        </w:tc>
        <w:tc>
          <w:p>
            <w:pPr>
              <w:pStyle w:val="Compact"/>
              <w:jc w:val="left"/>
            </w:pPr>
            <w:r>
              <w:t xml:space="preserve">+0.001 (−0.008 to +0.009)</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left"/>
            </w:pPr>
            <w:r>
              <w:t xml:space="preserve">0.633 (0.615–0.650)</w:t>
            </w:r>
          </w:p>
        </w:tc>
        <w:tc>
          <w:p>
            <w:pPr>
              <w:pStyle w:val="Compact"/>
              <w:jc w:val="left"/>
            </w:pPr>
            <w:r>
              <w:t xml:space="preserve">0.138 (0.132–0.143)</w:t>
            </w:r>
          </w:p>
        </w:tc>
        <w:tc>
          <w:p>
            <w:pPr>
              <w:pStyle w:val="Compact"/>
              <w:jc w:val="left"/>
            </w:pPr>
            <w:r>
              <w:t xml:space="preserve">1.22 (1.06–1.38)</w:t>
            </w:r>
          </w:p>
        </w:tc>
        <w:tc>
          <w:p>
            <w:pPr>
              <w:pStyle w:val="Compact"/>
              <w:jc w:val="left"/>
            </w:pPr>
            <w:r>
              <w:t xml:space="preserve">−0.004 (−0.013 to +0.005)</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left"/>
            </w:pPr>
            <w:r>
              <w:t xml:space="preserve">0.652 (0.620–0.684)</w:t>
            </w:r>
          </w:p>
        </w:tc>
        <w:tc>
          <w:p>
            <w:pPr>
              <w:pStyle w:val="Compact"/>
              <w:jc w:val="left"/>
            </w:pPr>
            <w:r>
              <w:t xml:space="preserve">0.144 (0.133–0.155)</w:t>
            </w:r>
          </w:p>
        </w:tc>
        <w:tc>
          <w:p>
            <w:pPr>
              <w:pStyle w:val="Compact"/>
              <w:jc w:val="left"/>
            </w:pPr>
            <w:r>
              <w:t xml:space="preserve">0.95 (0.74–1.16)</w:t>
            </w:r>
          </w:p>
        </w:tc>
        <w:tc>
          <w:p>
            <w:pPr>
              <w:pStyle w:val="Compact"/>
              <w:jc w:val="left"/>
            </w:pPr>
            <w:r>
              <w:t xml:space="preserve">−0.004 (−0.023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left"/>
            </w:pPr>
            <w:r>
              <w:t xml:space="preserve">0.608 (0.573–0.643)</w:t>
            </w:r>
          </w:p>
        </w:tc>
        <w:tc>
          <w:p>
            <w:pPr>
              <w:pStyle w:val="Compact"/>
              <w:jc w:val="left"/>
            </w:pPr>
            <w:r>
              <w:t xml:space="preserve">0.147 (0.136–0.160)</w:t>
            </w:r>
          </w:p>
        </w:tc>
        <w:tc>
          <w:p>
            <w:pPr>
              <w:pStyle w:val="Compact"/>
              <w:jc w:val="left"/>
            </w:pPr>
            <w:r>
              <w:t xml:space="preserve">0.79 (0.56–1.02)</w:t>
            </w:r>
          </w:p>
        </w:tc>
        <w:tc>
          <w:p>
            <w:pPr>
              <w:pStyle w:val="Compact"/>
              <w:jc w:val="left"/>
            </w:pPr>
            <w:r>
              <w:t xml:space="preserve">−0.004 (−0.024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left"/>
            </w:pPr>
            <w:r>
              <w:t xml:space="preserve">0.587 (0.553–0.620)</w:t>
            </w:r>
          </w:p>
        </w:tc>
        <w:tc>
          <w:p>
            <w:pPr>
              <w:pStyle w:val="Compact"/>
              <w:jc w:val="left"/>
            </w:pPr>
            <w:r>
              <w:t xml:space="preserve">0.148 (0.138–0.161)</w:t>
            </w:r>
          </w:p>
        </w:tc>
        <w:tc>
          <w:p>
            <w:pPr>
              <w:pStyle w:val="Compact"/>
              <w:jc w:val="left"/>
            </w:pPr>
            <w:r>
              <w:t xml:space="preserve">0.85 (0.53–1.15)</w:t>
            </w:r>
          </w:p>
        </w:tc>
        <w:tc>
          <w:p>
            <w:pPr>
              <w:pStyle w:val="Compact"/>
              <w:jc w:val="left"/>
            </w:pPr>
            <w:r>
              <w:t xml:space="preserve">−0.004 (−0.024 to +0.013)</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left"/>
            </w:pPr>
            <w:r>
              <w:t xml:space="preserve">0.611 (0.568–0.654)</w:t>
            </w:r>
          </w:p>
        </w:tc>
        <w:tc>
          <w:p>
            <w:pPr>
              <w:pStyle w:val="Compact"/>
              <w:jc w:val="left"/>
            </w:pPr>
            <w:r>
              <w:t xml:space="preserve">0.156 (0.142–0.171)</w:t>
            </w:r>
          </w:p>
        </w:tc>
        <w:tc>
          <w:p>
            <w:pPr>
              <w:pStyle w:val="Compact"/>
              <w:jc w:val="left"/>
            </w:pPr>
            <w:r>
              <w:t xml:space="preserve">0.78 (0.49–1.07)</w:t>
            </w:r>
          </w:p>
        </w:tc>
        <w:tc>
          <w:p>
            <w:pPr>
              <w:pStyle w:val="Compact"/>
              <w:jc w:val="left"/>
            </w:pPr>
            <w:r>
              <w:t xml:space="preserve">+0.003 (−0.022 to +0.026)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left"/>
            </w:pPr>
            <w:r>
              <w:t xml:space="preserve">0.570 (0.524–0.615)</w:t>
            </w:r>
          </w:p>
        </w:tc>
        <w:tc>
          <w:p>
            <w:pPr>
              <w:pStyle w:val="Compact"/>
              <w:jc w:val="left"/>
            </w:pPr>
            <w:r>
              <w:t xml:space="preserve">0.160 (0.146–0.174)</w:t>
            </w:r>
          </w:p>
        </w:tc>
        <w:tc>
          <w:p>
            <w:pPr>
              <w:pStyle w:val="Compact"/>
              <w:jc w:val="left"/>
            </w:pPr>
            <w:r>
              <w:t xml:space="preserve">0.60 (0.22–0.92)</w:t>
            </w:r>
          </w:p>
        </w:tc>
        <w:tc>
          <w:p>
            <w:pPr>
              <w:pStyle w:val="Compact"/>
              <w:jc w:val="left"/>
            </w:pPr>
            <w:r>
              <w:t xml:space="preserve">+0.012 (−0.014 to +0.036)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left"/>
            </w:pPr>
            <w:r>
              <w:t xml:space="preserve">0.578 (0.535–0.620)</w:t>
            </w:r>
          </w:p>
        </w:tc>
        <w:tc>
          <w:p>
            <w:pPr>
              <w:pStyle w:val="Compact"/>
              <w:jc w:val="left"/>
            </w:pPr>
            <w:r>
              <w:t xml:space="preserve">0.158 (0.144–0.174)</w:t>
            </w:r>
          </w:p>
        </w:tc>
        <w:tc>
          <w:p>
            <w:pPr>
              <w:pStyle w:val="Compact"/>
              <w:jc w:val="left"/>
            </w:pPr>
            <w:r>
              <w:t xml:space="preserve">0.81 (0.40–1.24)</w:t>
            </w:r>
          </w:p>
        </w:tc>
        <w:tc>
          <w:p>
            <w:pPr>
              <w:pStyle w:val="Compact"/>
              <w:jc w:val="left"/>
            </w:pPr>
            <w:r>
              <w:t xml:space="preserve">−0.007 (−0.033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left"/>
            </w:pPr>
            <w:r>
              <w:t xml:space="preserve">0.653 (0.621–0.682)</w:t>
            </w:r>
          </w:p>
        </w:tc>
        <w:tc>
          <w:p>
            <w:pPr>
              <w:pStyle w:val="Compact"/>
              <w:jc w:val="left"/>
            </w:pPr>
            <w:r>
              <w:t xml:space="preserve">0.154 (0.144–0.165)</w:t>
            </w:r>
          </w:p>
        </w:tc>
        <w:tc>
          <w:p>
            <w:pPr>
              <w:pStyle w:val="Compact"/>
              <w:jc w:val="left"/>
            </w:pPr>
            <w:r>
              <w:t xml:space="preserve">0.95 (0.76–1.14)</w:t>
            </w:r>
          </w:p>
        </w:tc>
        <w:tc>
          <w:p>
            <w:pPr>
              <w:pStyle w:val="Compact"/>
              <w:jc w:val="left"/>
            </w:pPr>
            <w:r>
              <w:t xml:space="preserve">−0.002 (−0.021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left"/>
            </w:pPr>
            <w:r>
              <w:t xml:space="preserve">0.636 (0.605–0.667)</w:t>
            </w:r>
          </w:p>
        </w:tc>
        <w:tc>
          <w:p>
            <w:pPr>
              <w:pStyle w:val="Compact"/>
              <w:jc w:val="left"/>
            </w:pPr>
            <w:r>
              <w:t xml:space="preserve">0.155 (0.145–0.167)</w:t>
            </w:r>
          </w:p>
        </w:tc>
        <w:tc>
          <w:p>
            <w:pPr>
              <w:pStyle w:val="Compact"/>
              <w:jc w:val="left"/>
            </w:pPr>
            <w:r>
              <w:t xml:space="preserve">1.00 (0.78–1.24)</w:t>
            </w:r>
          </w:p>
        </w:tc>
        <w:tc>
          <w:p>
            <w:pPr>
              <w:pStyle w:val="Compact"/>
              <w:jc w:val="left"/>
            </w:pPr>
            <w:r>
              <w:t xml:space="preserve">−0.002 (−0.020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left"/>
            </w:pPr>
            <w:r>
              <w:t xml:space="preserve">0.610 (0.578–0.642)</w:t>
            </w:r>
          </w:p>
        </w:tc>
        <w:tc>
          <w:p>
            <w:pPr>
              <w:pStyle w:val="Compact"/>
              <w:jc w:val="left"/>
            </w:pPr>
            <w:r>
              <w:t xml:space="preserve">0.158 (0.147–0.170)</w:t>
            </w:r>
          </w:p>
        </w:tc>
        <w:tc>
          <w:p>
            <w:pPr>
              <w:pStyle w:val="Compact"/>
              <w:jc w:val="left"/>
            </w:pPr>
            <w:r>
              <w:t xml:space="preserve">1.08 (0.78–1.36)</w:t>
            </w:r>
          </w:p>
        </w:tc>
        <w:tc>
          <w:p>
            <w:pPr>
              <w:pStyle w:val="Compact"/>
              <w:jc w:val="left"/>
            </w:pPr>
            <w:r>
              <w:t xml:space="preserve">−0.015 (−0.035 to +0.002)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left"/>
            </w:pPr>
            <w:r>
              <w:t xml:space="preserve">0.652 (0.623–0.679)</w:t>
            </w:r>
          </w:p>
        </w:tc>
        <w:tc>
          <w:p>
            <w:pPr>
              <w:pStyle w:val="Compact"/>
              <w:jc w:val="left"/>
            </w:pPr>
            <w:r>
              <w:t xml:space="preserve">0.140 (0.130–0.148)</w:t>
            </w:r>
          </w:p>
        </w:tc>
        <w:tc>
          <w:p>
            <w:pPr>
              <w:pStyle w:val="Compact"/>
              <w:jc w:val="left"/>
            </w:pPr>
            <w:r>
              <w:t xml:space="preserve">0.98 (0.81–1.15)</w:t>
            </w:r>
          </w:p>
        </w:tc>
        <w:tc>
          <w:p>
            <w:pPr>
              <w:pStyle w:val="Compact"/>
              <w:jc w:val="left"/>
            </w:pPr>
            <w:r>
              <w:t xml:space="preserve">+0.007 (−0.006 to +0.022)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left"/>
            </w:pPr>
            <w:r>
              <w:t xml:space="preserve">0.607 (0.580–0.636)</w:t>
            </w:r>
          </w:p>
        </w:tc>
        <w:tc>
          <w:p>
            <w:pPr>
              <w:pStyle w:val="Compact"/>
              <w:jc w:val="left"/>
            </w:pPr>
            <w:r>
              <w:t xml:space="preserve">0.143 (0.133–0.151)</w:t>
            </w:r>
          </w:p>
        </w:tc>
        <w:tc>
          <w:p>
            <w:pPr>
              <w:pStyle w:val="Compact"/>
              <w:jc w:val="left"/>
            </w:pPr>
            <w:r>
              <w:t xml:space="preserve">0.88 (0.68–1.10)</w:t>
            </w:r>
          </w:p>
        </w:tc>
        <w:tc>
          <w:p>
            <w:pPr>
              <w:pStyle w:val="Compact"/>
              <w:jc w:val="left"/>
            </w:pPr>
            <w:r>
              <w:t xml:space="preserve">−0.001 (−0.014 to +0.014)</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left"/>
            </w:pPr>
            <w:r>
              <w:t xml:space="preserve">0.624 (0.594–0.651)</w:t>
            </w:r>
          </w:p>
        </w:tc>
        <w:tc>
          <w:p>
            <w:pPr>
              <w:pStyle w:val="Compact"/>
              <w:jc w:val="left"/>
            </w:pPr>
            <w:r>
              <w:t xml:space="preserve">0.142 (0.133–0.151)</w:t>
            </w:r>
          </w:p>
        </w:tc>
        <w:tc>
          <w:p>
            <w:pPr>
              <w:pStyle w:val="Compact"/>
              <w:jc w:val="left"/>
            </w:pPr>
            <w:r>
              <w:t xml:space="preserve">1.16 (0.91–1.42)</w:t>
            </w:r>
          </w:p>
        </w:tc>
        <w:tc>
          <w:p>
            <w:pPr>
              <w:pStyle w:val="Compact"/>
              <w:jc w:val="left"/>
            </w:pPr>
            <w:r>
              <w:t xml:space="preserve">−0.002 (−0.015 to +0.013)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left"/>
            </w:pPr>
            <w:r>
              <w:t xml:space="preserve">0.658 (0.630–0.682)</w:t>
            </w:r>
          </w:p>
        </w:tc>
        <w:tc>
          <w:p>
            <w:pPr>
              <w:pStyle w:val="Compact"/>
              <w:jc w:val="left"/>
            </w:pPr>
            <w:r>
              <w:t xml:space="preserve">0.117 (0.108–0.126)</w:t>
            </w:r>
          </w:p>
        </w:tc>
        <w:tc>
          <w:p>
            <w:pPr>
              <w:pStyle w:val="Compact"/>
              <w:jc w:val="left"/>
            </w:pPr>
            <w:r>
              <w:t xml:space="preserve">1.10 (0.92–1.28)</w:t>
            </w:r>
          </w:p>
        </w:tc>
        <w:tc>
          <w:p>
            <w:pPr>
              <w:pStyle w:val="Compact"/>
              <w:jc w:val="left"/>
            </w:pPr>
            <w:r>
              <w:t xml:space="preserve">−0.005 (−0.017 to +0.008)</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left"/>
            </w:pPr>
            <w:r>
              <w:t xml:space="preserve">0.641 (0.614–0.669)</w:t>
            </w:r>
          </w:p>
        </w:tc>
        <w:tc>
          <w:p>
            <w:pPr>
              <w:pStyle w:val="Compact"/>
              <w:jc w:val="left"/>
            </w:pPr>
            <w:r>
              <w:t xml:space="preserve">0.119 (0.110–0.127)</w:t>
            </w:r>
          </w:p>
        </w:tc>
        <w:tc>
          <w:p>
            <w:pPr>
              <w:pStyle w:val="Compact"/>
              <w:jc w:val="left"/>
            </w:pPr>
            <w:r>
              <w:t xml:space="preserve">1.18 (0.95–1.43)</w:t>
            </w:r>
          </w:p>
        </w:tc>
        <w:tc>
          <w:p>
            <w:pPr>
              <w:pStyle w:val="Compact"/>
              <w:jc w:val="left"/>
            </w:pPr>
            <w:r>
              <w:t xml:space="preserve">−0.003 (−0.016 to +0.010)</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left"/>
            </w:pPr>
            <w:r>
              <w:t xml:space="preserve">0.624 (0.595–0.651)</w:t>
            </w:r>
          </w:p>
        </w:tc>
        <w:tc>
          <w:p>
            <w:pPr>
              <w:pStyle w:val="Compact"/>
              <w:jc w:val="left"/>
            </w:pPr>
            <w:r>
              <w:t xml:space="preserve">0.119 (0.111–0.128)</w:t>
            </w:r>
          </w:p>
        </w:tc>
        <w:tc>
          <w:p>
            <w:pPr>
              <w:pStyle w:val="Compact"/>
              <w:jc w:val="left"/>
            </w:pPr>
            <w:r>
              <w:t xml:space="preserve">1.28 (1.02–1.54)</w:t>
            </w:r>
          </w:p>
        </w:tc>
        <w:tc>
          <w:p>
            <w:pPr>
              <w:pStyle w:val="Compact"/>
              <w:jc w:val="left"/>
            </w:pPr>
            <w:r>
              <w:t xml:space="preserve">+0.003 (−0.010 to +0.016)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left"/>
            </w:pPr>
            <w:r>
              <w:t xml:space="preserve">0.640 (0.593–0.681)</w:t>
            </w:r>
          </w:p>
        </w:tc>
        <w:tc>
          <w:p>
            <w:pPr>
              <w:pStyle w:val="Compact"/>
              <w:jc w:val="left"/>
            </w:pPr>
            <w:r>
              <w:t xml:space="preserve">0.173 (0.156–0.191)</w:t>
            </w:r>
          </w:p>
        </w:tc>
        <w:tc>
          <w:p>
            <w:pPr>
              <w:pStyle w:val="Compact"/>
              <w:jc w:val="left"/>
            </w:pPr>
            <w:r>
              <w:t xml:space="preserve">0.90 (0.64–1.14)</w:t>
            </w:r>
          </w:p>
        </w:tc>
        <w:tc>
          <w:p>
            <w:pPr>
              <w:pStyle w:val="Compact"/>
              <w:jc w:val="left"/>
            </w:pPr>
            <w:r>
              <w:t xml:space="preserve">−0.046 (−0.074 to −0.018)</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left"/>
            </w:pPr>
            <w:r>
              <w:t xml:space="preserve">0.607 (0.563–0.649)</w:t>
            </w:r>
          </w:p>
        </w:tc>
        <w:tc>
          <w:p>
            <w:pPr>
              <w:pStyle w:val="Compact"/>
              <w:jc w:val="left"/>
            </w:pPr>
            <w:r>
              <w:t xml:space="preserve">0.177 (0.159–0.194)</w:t>
            </w:r>
          </w:p>
        </w:tc>
        <w:tc>
          <w:p>
            <w:pPr>
              <w:pStyle w:val="Compact"/>
              <w:jc w:val="left"/>
            </w:pPr>
            <w:r>
              <w:t xml:space="preserve">0.85 (0.52–1.16)</w:t>
            </w:r>
          </w:p>
        </w:tc>
        <w:tc>
          <w:p>
            <w:pPr>
              <w:pStyle w:val="Compact"/>
              <w:jc w:val="left"/>
            </w:pPr>
            <w:r>
              <w:t xml:space="preserve">−0.049 (−0.077 to −0.021)</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left"/>
            </w:pPr>
            <w:r>
              <w:t xml:space="preserve">0.607 (0.561–0.646)</w:t>
            </w:r>
          </w:p>
        </w:tc>
        <w:tc>
          <w:p>
            <w:pPr>
              <w:pStyle w:val="Compact"/>
              <w:jc w:val="left"/>
            </w:pPr>
            <w:r>
              <w:t xml:space="preserve">0.179 (0.161–0.197)</w:t>
            </w:r>
          </w:p>
        </w:tc>
        <w:tc>
          <w:p>
            <w:pPr>
              <w:pStyle w:val="Compact"/>
              <w:jc w:val="left"/>
            </w:pPr>
            <w:r>
              <w:t xml:space="preserve">1.07 (0.69–1.42)</w:t>
            </w:r>
          </w:p>
        </w:tc>
        <w:tc>
          <w:p>
            <w:pPr>
              <w:pStyle w:val="Compact"/>
              <w:jc w:val="left"/>
            </w:pPr>
            <w:r>
              <w:t xml:space="preserve">−0.061 (−0.089 to −0.034)</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left"/>
            </w:pPr>
            <w:r>
              <w:t xml:space="preserve">0.634 (0.609–0.661)</w:t>
            </w:r>
          </w:p>
        </w:tc>
        <w:tc>
          <w:p>
            <w:pPr>
              <w:pStyle w:val="Compact"/>
              <w:jc w:val="left"/>
            </w:pPr>
            <w:r>
              <w:t xml:space="preserve">0.145 (0.137–0.155)</w:t>
            </w:r>
          </w:p>
        </w:tc>
        <w:tc>
          <w:p>
            <w:pPr>
              <w:pStyle w:val="Compact"/>
              <w:jc w:val="left"/>
            </w:pPr>
            <w:r>
              <w:t xml:space="preserve">0.85 (0.69–1.02)</w:t>
            </w:r>
          </w:p>
        </w:tc>
        <w:tc>
          <w:p>
            <w:pPr>
              <w:pStyle w:val="Compact"/>
              <w:jc w:val="left"/>
            </w:pPr>
            <w:r>
              <w:t xml:space="preserve">+0.013 (−0.003 to +0.028)</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left"/>
            </w:pPr>
            <w:r>
              <w:t xml:space="preserve">0.598 (0.569–0.627)</w:t>
            </w:r>
          </w:p>
        </w:tc>
        <w:tc>
          <w:p>
            <w:pPr>
              <w:pStyle w:val="Compact"/>
              <w:jc w:val="left"/>
            </w:pPr>
            <w:r>
              <w:t xml:space="preserve">0.149 (0.140–0.159)</w:t>
            </w:r>
          </w:p>
        </w:tc>
        <w:tc>
          <w:p>
            <w:pPr>
              <w:pStyle w:val="Compact"/>
              <w:jc w:val="left"/>
            </w:pPr>
            <w:r>
              <w:t xml:space="preserve">0.72 (0.52–0.93)</w:t>
            </w:r>
          </w:p>
        </w:tc>
        <w:tc>
          <w:p>
            <w:pPr>
              <w:pStyle w:val="Compact"/>
              <w:jc w:val="left"/>
            </w:pPr>
            <w:r>
              <w:t xml:space="preserve">+0.016 (+0.000 to +0.031)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left"/>
            </w:pPr>
            <w:r>
              <w:t xml:space="preserve">0.590 (0.562–0.619)</w:t>
            </w:r>
          </w:p>
        </w:tc>
        <w:tc>
          <w:p>
            <w:pPr>
              <w:pStyle w:val="Compact"/>
              <w:jc w:val="left"/>
            </w:pPr>
            <w:r>
              <w:t xml:space="preserve">0.149 (0.139–0.159)</w:t>
            </w:r>
          </w:p>
        </w:tc>
        <w:tc>
          <w:p>
            <w:pPr>
              <w:pStyle w:val="Compact"/>
              <w:jc w:val="left"/>
            </w:pPr>
            <w:r>
              <w:t xml:space="preserve">0.85 (0.61–1.12)</w:t>
            </w:r>
          </w:p>
        </w:tc>
        <w:tc>
          <w:p>
            <w:pPr>
              <w:pStyle w:val="Compact"/>
              <w:jc w:val="left"/>
            </w:pPr>
            <w:r>
              <w:t xml:space="preserve">+0.002 (−0.014 to +0.016)</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left"/>
            </w:pPr>
            <w:r>
              <w:t xml:space="preserve">0.670 (0.650–0.690)</w:t>
            </w:r>
          </w:p>
        </w:tc>
        <w:tc>
          <w:p>
            <w:pPr>
              <w:pStyle w:val="Compact"/>
              <w:jc w:val="left"/>
            </w:pPr>
            <w:r>
              <w:t xml:space="preserve">0.129 (0.122–0.136)</w:t>
            </w:r>
          </w:p>
        </w:tc>
        <w:tc>
          <w:p>
            <w:pPr>
              <w:pStyle w:val="Compact"/>
              <w:jc w:val="left"/>
            </w:pPr>
            <w:r>
              <w:t xml:space="preserve">1.05 (0.92–1.19)</w:t>
            </w:r>
          </w:p>
        </w:tc>
        <w:tc>
          <w:p>
            <w:pPr>
              <w:pStyle w:val="Compact"/>
              <w:jc w:val="left"/>
            </w:pPr>
            <w:r>
              <w:t xml:space="preserve">−0.001 (−0.012 to +0.009)</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left"/>
            </w:pPr>
            <w:r>
              <w:t xml:space="preserve">0.644 (0.623–0.666)</w:t>
            </w:r>
          </w:p>
        </w:tc>
        <w:tc>
          <w:p>
            <w:pPr>
              <w:pStyle w:val="Compact"/>
              <w:jc w:val="left"/>
            </w:pPr>
            <w:r>
              <w:t xml:space="preserve">0.131 (0.124–0.138)</w:t>
            </w:r>
          </w:p>
        </w:tc>
        <w:tc>
          <w:p>
            <w:pPr>
              <w:pStyle w:val="Compact"/>
              <w:jc w:val="left"/>
            </w:pPr>
            <w:r>
              <w:t xml:space="preserve">1.10 (0.93–1.28)</w:t>
            </w:r>
          </w:p>
        </w:tc>
        <w:tc>
          <w:p>
            <w:pPr>
              <w:pStyle w:val="Compact"/>
              <w:jc w:val="left"/>
            </w:pPr>
            <w:r>
              <w:t xml:space="preserve">−0.002 (−0.013 to +0.008)</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left"/>
            </w:pPr>
            <w:r>
              <w:t xml:space="preserve">0.640 (0.619–0.663)</w:t>
            </w:r>
          </w:p>
        </w:tc>
        <w:tc>
          <w:p>
            <w:pPr>
              <w:pStyle w:val="Compact"/>
              <w:jc w:val="left"/>
            </w:pPr>
            <w:r>
              <w:t xml:space="preserve">0.131 (0.125–0.138)</w:t>
            </w:r>
          </w:p>
        </w:tc>
        <w:tc>
          <w:p>
            <w:pPr>
              <w:pStyle w:val="Compact"/>
              <w:jc w:val="left"/>
            </w:pPr>
            <w:r>
              <w:t xml:space="preserve">1.31 (1.12–1.52)</w:t>
            </w:r>
          </w:p>
        </w:tc>
        <w:tc>
          <w:p>
            <w:pPr>
              <w:pStyle w:val="Compact"/>
              <w:jc w:val="left"/>
            </w:pPr>
            <w:r>
              <w:t xml:space="preserve">+0.002 (−0.009 to +0.013)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left"/>
            </w:pPr>
            <w:r>
              <w:t xml:space="preserve">0.518 (0.364–0.673)</w:t>
            </w:r>
          </w:p>
        </w:tc>
        <w:tc>
          <w:p>
            <w:pPr>
              <w:pStyle w:val="Compact"/>
              <w:jc w:val="left"/>
            </w:pPr>
            <w:r>
              <w:t xml:space="preserve">0.171 (0.123–0.224)</w:t>
            </w:r>
          </w:p>
        </w:tc>
        <w:tc>
          <w:p>
            <w:pPr>
              <w:pStyle w:val="Compact"/>
              <w:jc w:val="left"/>
            </w:pPr>
            <w:r>
              <w:t xml:space="preserve">0.08 (−1.14 to 1.24)</w:t>
            </w:r>
          </w:p>
        </w:tc>
        <w:tc>
          <w:p>
            <w:pPr>
              <w:pStyle w:val="Compact"/>
              <w:jc w:val="left"/>
            </w:pPr>
            <w:r>
              <w:t xml:space="preserve">+0.001 (−0.088 to +0.082)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left"/>
            </w:pPr>
            <w:r>
              <w:t xml:space="preserve">0.518 (0.357–0.687)</w:t>
            </w:r>
          </w:p>
        </w:tc>
        <w:tc>
          <w:p>
            <w:pPr>
              <w:pStyle w:val="Compact"/>
              <w:jc w:val="left"/>
            </w:pPr>
            <w:r>
              <w:t xml:space="preserve">0.169 (0.117–0.220)</w:t>
            </w:r>
          </w:p>
        </w:tc>
        <w:tc>
          <w:p>
            <w:pPr>
              <w:pStyle w:val="Compact"/>
              <w:jc w:val="left"/>
            </w:pPr>
            <w:r>
              <w:t xml:space="preserve">0.30 (−1.07 to 1.63)</w:t>
            </w:r>
          </w:p>
        </w:tc>
        <w:tc>
          <w:p>
            <w:pPr>
              <w:pStyle w:val="Compact"/>
              <w:jc w:val="left"/>
            </w:pPr>
            <w:r>
              <w:t xml:space="preserve">−0.003 (−0.090 to +0.078)</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left"/>
            </w:pPr>
            <w:r>
              <w:t xml:space="preserve">0.581 (0.418–0.741)</w:t>
            </w:r>
          </w:p>
        </w:tc>
        <w:tc>
          <w:p>
            <w:pPr>
              <w:pStyle w:val="Compact"/>
              <w:jc w:val="left"/>
            </w:pPr>
            <w:r>
              <w:t xml:space="preserve">0.162 (0.112–0.215)</w:t>
            </w:r>
          </w:p>
        </w:tc>
        <w:tc>
          <w:p>
            <w:pPr>
              <w:pStyle w:val="Compact"/>
              <w:jc w:val="left"/>
            </w:pPr>
            <w:r>
              <w:t xml:space="preserve">0.73 (−0.74 to 2.45)</w:t>
            </w:r>
          </w:p>
        </w:tc>
        <w:tc>
          <w:p>
            <w:pPr>
              <w:pStyle w:val="Compact"/>
              <w:jc w:val="left"/>
            </w:pPr>
            <w:r>
              <w:t xml:space="preserve">−0.018 (−0.103 to +0.060)</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left"/>
            </w:pPr>
            <w:r>
              <w:t xml:space="preserve">0.654 (0.597–0.708)</w:t>
            </w:r>
          </w:p>
        </w:tc>
        <w:tc>
          <w:p>
            <w:pPr>
              <w:pStyle w:val="Compact"/>
              <w:jc w:val="left"/>
            </w:pPr>
            <w:r>
              <w:t xml:space="preserve">0.111 (0.097–0.125)</w:t>
            </w:r>
          </w:p>
        </w:tc>
        <w:tc>
          <w:p>
            <w:pPr>
              <w:pStyle w:val="Compact"/>
              <w:jc w:val="left"/>
            </w:pPr>
            <w:r>
              <w:t xml:space="preserve">1.09 (0.73–1.45)</w:t>
            </w:r>
          </w:p>
        </w:tc>
        <w:tc>
          <w:p>
            <w:pPr>
              <w:pStyle w:val="Compact"/>
              <w:jc w:val="left"/>
            </w:pPr>
            <w:r>
              <w:t xml:space="preserve">+0.022 (+0.000 to +0.043)</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left"/>
            </w:pPr>
            <w:r>
              <w:t xml:space="preserve">0.625 (0.572–0.678)</w:t>
            </w:r>
          </w:p>
        </w:tc>
        <w:tc>
          <w:p>
            <w:pPr>
              <w:pStyle w:val="Compact"/>
              <w:jc w:val="left"/>
            </w:pPr>
            <w:r>
              <w:t xml:space="preserve">0.112 (0.097–0.127)</w:t>
            </w:r>
          </w:p>
        </w:tc>
        <w:tc>
          <w:p>
            <w:pPr>
              <w:pStyle w:val="Compact"/>
              <w:jc w:val="left"/>
            </w:pPr>
            <w:r>
              <w:t xml:space="preserve">1.17 (0.76–1.61)</w:t>
            </w:r>
          </w:p>
        </w:tc>
        <w:tc>
          <w:p>
            <w:pPr>
              <w:pStyle w:val="Compact"/>
              <w:jc w:val="left"/>
            </w:pPr>
            <w:r>
              <w:t xml:space="preserve">+0.017 (−0.005 to +0.039)</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left"/>
            </w:pPr>
            <w:r>
              <w:t xml:space="preserve">0.623 (0.565–0.678)</w:t>
            </w:r>
          </w:p>
        </w:tc>
        <w:tc>
          <w:p>
            <w:pPr>
              <w:pStyle w:val="Compact"/>
              <w:jc w:val="left"/>
            </w:pPr>
            <w:r>
              <w:t xml:space="preserve">0.113 (0.098–0.128)</w:t>
            </w:r>
          </w:p>
        </w:tc>
        <w:tc>
          <w:p>
            <w:pPr>
              <w:pStyle w:val="Compact"/>
              <w:jc w:val="left"/>
            </w:pPr>
            <w:r>
              <w:t xml:space="preserve">1.22 (0.70–1.76)</w:t>
            </w:r>
          </w:p>
        </w:tc>
        <w:tc>
          <w:p>
            <w:pPr>
              <w:pStyle w:val="Compact"/>
              <w:jc w:val="left"/>
            </w:pPr>
            <w:r>
              <w:t xml:space="preserve">+0.015 (−0.007 to +0.038)</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left"/>
            </w:pPr>
            <w:r>
              <w:t xml:space="preserve">0.667 (0.631–0.706)</w:t>
            </w:r>
          </w:p>
        </w:tc>
        <w:tc>
          <w:p>
            <w:pPr>
              <w:pStyle w:val="Compact"/>
              <w:jc w:val="left"/>
            </w:pPr>
            <w:r>
              <w:t xml:space="preserve">0.158 (0.144–0.172)</w:t>
            </w:r>
          </w:p>
        </w:tc>
        <w:tc>
          <w:p>
            <w:pPr>
              <w:pStyle w:val="Compact"/>
              <w:jc w:val="left"/>
            </w:pPr>
            <w:r>
              <w:t xml:space="preserve">1.01 (0.80–1.27)</w:t>
            </w:r>
          </w:p>
        </w:tc>
        <w:tc>
          <w:p>
            <w:pPr>
              <w:pStyle w:val="Compact"/>
              <w:jc w:val="left"/>
            </w:pPr>
            <w:r>
              <w:t xml:space="preserve">−0.009 (−0.032 to +0.014)</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left"/>
            </w:pPr>
            <w:r>
              <w:t xml:space="preserve">0.617 (0.575–0.660)</w:t>
            </w:r>
          </w:p>
        </w:tc>
        <w:tc>
          <w:p>
            <w:pPr>
              <w:pStyle w:val="Compact"/>
              <w:jc w:val="left"/>
            </w:pPr>
            <w:r>
              <w:t xml:space="preserve">0.162 (0.148–0.176)</w:t>
            </w:r>
          </w:p>
        </w:tc>
        <w:tc>
          <w:p>
            <w:pPr>
              <w:pStyle w:val="Compact"/>
              <w:jc w:val="left"/>
            </w:pPr>
            <w:r>
              <w:t xml:space="preserve">0.87 (0.61–1.15)</w:t>
            </w:r>
          </w:p>
        </w:tc>
        <w:tc>
          <w:p>
            <w:pPr>
              <w:pStyle w:val="Compact"/>
              <w:jc w:val="left"/>
            </w:pPr>
            <w:r>
              <w:t xml:space="preserve">−0.011 (−0.034 to +0.013)</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left"/>
            </w:pPr>
            <w:r>
              <w:t xml:space="preserve">0.609 (0.569–0.649)</w:t>
            </w:r>
          </w:p>
        </w:tc>
        <w:tc>
          <w:p>
            <w:pPr>
              <w:pStyle w:val="Compact"/>
              <w:jc w:val="left"/>
            </w:pPr>
            <w:r>
              <w:t xml:space="preserve">0.163 (0.149–0.177)</w:t>
            </w:r>
          </w:p>
        </w:tc>
        <w:tc>
          <w:p>
            <w:pPr>
              <w:pStyle w:val="Compact"/>
              <w:jc w:val="left"/>
            </w:pPr>
            <w:r>
              <w:t xml:space="preserve">1.12 (0.79–1.49)</w:t>
            </w:r>
          </w:p>
        </w:tc>
        <w:tc>
          <w:p>
            <w:pPr>
              <w:pStyle w:val="Compact"/>
              <w:jc w:val="left"/>
            </w:pPr>
            <w:r>
              <w:t xml:space="preserve">−0.020 (−0.043 to +0.004)</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left"/>
            </w:pPr>
            <w:r>
              <w:t xml:space="preserve">0.663 (0.636–0.690)</w:t>
            </w:r>
          </w:p>
        </w:tc>
        <w:tc>
          <w:p>
            <w:pPr>
              <w:pStyle w:val="Compact"/>
              <w:jc w:val="left"/>
            </w:pPr>
            <w:r>
              <w:t xml:space="preserve">0.137 (0.128–0.146)</w:t>
            </w:r>
          </w:p>
        </w:tc>
        <w:tc>
          <w:p>
            <w:pPr>
              <w:pStyle w:val="Compact"/>
              <w:jc w:val="left"/>
            </w:pPr>
            <w:r>
              <w:t xml:space="preserve">0.98 (0.82–1.15)</w:t>
            </w:r>
          </w:p>
        </w:tc>
        <w:tc>
          <w:p>
            <w:pPr>
              <w:pStyle w:val="Compact"/>
              <w:jc w:val="left"/>
            </w:pPr>
            <w:r>
              <w:t xml:space="preserve">+0.003 (−0.012 to +0.017)</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left"/>
            </w:pPr>
            <w:r>
              <w:t xml:space="preserve">0.633 (0.603–0.660)</w:t>
            </w:r>
          </w:p>
        </w:tc>
        <w:tc>
          <w:p>
            <w:pPr>
              <w:pStyle w:val="Compact"/>
              <w:jc w:val="left"/>
            </w:pPr>
            <w:r>
              <w:t xml:space="preserve">0.140 (0.130–0.150)</w:t>
            </w:r>
          </w:p>
        </w:tc>
        <w:tc>
          <w:p>
            <w:pPr>
              <w:pStyle w:val="Compact"/>
              <w:jc w:val="left"/>
            </w:pPr>
            <w:r>
              <w:t xml:space="preserve">0.89 (0.69–1.10)</w:t>
            </w:r>
          </w:p>
        </w:tc>
        <w:tc>
          <w:p>
            <w:pPr>
              <w:pStyle w:val="Compact"/>
              <w:jc w:val="left"/>
            </w:pPr>
            <w:r>
              <w:t xml:space="preserve">+0.001 (−0.014 to +0.015)</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left"/>
            </w:pPr>
            <w:r>
              <w:t xml:space="preserve">0.632 (0.603–0.659)</w:t>
            </w:r>
          </w:p>
        </w:tc>
        <w:tc>
          <w:p>
            <w:pPr>
              <w:pStyle w:val="Compact"/>
              <w:jc w:val="left"/>
            </w:pPr>
            <w:r>
              <w:t xml:space="preserve">0.139 (0.130–0.149)</w:t>
            </w:r>
          </w:p>
        </w:tc>
        <w:tc>
          <w:p>
            <w:pPr>
              <w:pStyle w:val="Compact"/>
              <w:jc w:val="left"/>
            </w:pPr>
            <w:r>
              <w:t xml:space="preserve">1.16 (0.92–1.39)</w:t>
            </w:r>
          </w:p>
        </w:tc>
        <w:tc>
          <w:p>
            <w:pPr>
              <w:pStyle w:val="Compact"/>
              <w:jc w:val="left"/>
            </w:pPr>
            <w:r>
              <w:t xml:space="preserve">−0.005 (−0.020 to +0.009)</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left"/>
            </w:pPr>
            <w:r>
              <w:t xml:space="preserve">0.646 (0.623–0.665)</w:t>
            </w:r>
          </w:p>
        </w:tc>
        <w:tc>
          <w:p>
            <w:pPr>
              <w:pStyle w:val="Compact"/>
              <w:jc w:val="left"/>
            </w:pPr>
            <w:r>
              <w:t xml:space="preserve">0.132 (0.126–0.139)</w:t>
            </w:r>
          </w:p>
        </w:tc>
        <w:tc>
          <w:p>
            <w:pPr>
              <w:pStyle w:val="Compact"/>
              <w:jc w:val="left"/>
            </w:pPr>
            <w:r>
              <w:t xml:space="preserve">0.93 (0.80–1.05)</w:t>
            </w:r>
          </w:p>
        </w:tc>
        <w:tc>
          <w:p>
            <w:pPr>
              <w:pStyle w:val="Compact"/>
              <w:jc w:val="left"/>
            </w:pPr>
            <w:r>
              <w:t xml:space="preserve">+0.001 (−0.009 to +0.011)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left"/>
            </w:pPr>
            <w:r>
              <w:t xml:space="preserve">0.625 (0.603–0.645)</w:t>
            </w:r>
          </w:p>
        </w:tc>
        <w:tc>
          <w:p>
            <w:pPr>
              <w:pStyle w:val="Compact"/>
              <w:jc w:val="left"/>
            </w:pPr>
            <w:r>
              <w:t xml:space="preserve">0.133 (0.127–0.140)</w:t>
            </w:r>
          </w:p>
        </w:tc>
        <w:tc>
          <w:p>
            <w:pPr>
              <w:pStyle w:val="Compact"/>
              <w:jc w:val="left"/>
            </w:pPr>
            <w:r>
              <w:t xml:space="preserve">0.99 (0.82–1.13)</w:t>
            </w:r>
          </w:p>
        </w:tc>
        <w:tc>
          <w:p>
            <w:pPr>
              <w:pStyle w:val="Compact"/>
              <w:jc w:val="left"/>
            </w:pPr>
            <w:r>
              <w:t xml:space="preserve">+0.002 (−0.008 to +0.012)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left"/>
            </w:pPr>
            <w:r>
              <w:t xml:space="preserve">0.618 (0.596–0.638)</w:t>
            </w:r>
          </w:p>
        </w:tc>
        <w:tc>
          <w:p>
            <w:pPr>
              <w:pStyle w:val="Compact"/>
              <w:jc w:val="left"/>
            </w:pPr>
            <w:r>
              <w:t xml:space="preserve">0.134 (0.128–0.141)</w:t>
            </w:r>
          </w:p>
        </w:tc>
        <w:tc>
          <w:p>
            <w:pPr>
              <w:pStyle w:val="Compact"/>
              <w:jc w:val="left"/>
            </w:pPr>
            <w:r>
              <w:t xml:space="preserve">1.13 (0.92–1.30)</w:t>
            </w:r>
          </w:p>
        </w:tc>
        <w:tc>
          <w:p>
            <w:pPr>
              <w:pStyle w:val="Compact"/>
              <w:jc w:val="left"/>
            </w:pPr>
            <w:r>
              <w:t xml:space="preserve">+0.001 (−0.009 to +0.011)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left"/>
            </w:pPr>
            <w:r>
              <w:t xml:space="preserve">0.695 (0.634–0.754)</w:t>
            </w:r>
          </w:p>
        </w:tc>
        <w:tc>
          <w:p>
            <w:pPr>
              <w:pStyle w:val="Compact"/>
              <w:jc w:val="left"/>
            </w:pPr>
            <w:r>
              <w:t xml:space="preserve">0.120 (0.104–0.139)</w:t>
            </w:r>
          </w:p>
        </w:tc>
        <w:tc>
          <w:p>
            <w:pPr>
              <w:pStyle w:val="Compact"/>
              <w:jc w:val="left"/>
            </w:pPr>
            <w:r>
              <w:t xml:space="preserve">1.29 (0.88–1.77)</w:t>
            </w:r>
          </w:p>
        </w:tc>
        <w:tc>
          <w:p>
            <w:pPr>
              <w:pStyle w:val="Compact"/>
              <w:jc w:val="left"/>
            </w:pPr>
            <w:r>
              <w:t xml:space="preserve">+0.009 (−0.018 to +0.034)</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left"/>
            </w:pPr>
            <w:r>
              <w:t xml:space="preserve">0.648 (0.587–0.710)</w:t>
            </w:r>
          </w:p>
        </w:tc>
        <w:tc>
          <w:p>
            <w:pPr>
              <w:pStyle w:val="Compact"/>
              <w:jc w:val="left"/>
            </w:pPr>
            <w:r>
              <w:t xml:space="preserve">0.124 (0.106–0.143)</w:t>
            </w:r>
          </w:p>
        </w:tc>
        <w:tc>
          <w:p>
            <w:pPr>
              <w:pStyle w:val="Compact"/>
              <w:jc w:val="left"/>
            </w:pPr>
            <w:r>
              <w:t xml:space="preserve">1.06 (0.63–1.54)</w:t>
            </w:r>
          </w:p>
        </w:tc>
        <w:tc>
          <w:p>
            <w:pPr>
              <w:pStyle w:val="Compact"/>
              <w:jc w:val="left"/>
            </w:pPr>
            <w:r>
              <w:t xml:space="preserve">+0.002 (−0.027 to +0.028)</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left"/>
            </w:pPr>
            <w:r>
              <w:t xml:space="preserve">0.658 (0.598–0.713)</w:t>
            </w:r>
          </w:p>
        </w:tc>
        <w:tc>
          <w:p>
            <w:pPr>
              <w:pStyle w:val="Compact"/>
              <w:jc w:val="left"/>
            </w:pPr>
            <w:r>
              <w:t xml:space="preserve">0.124 (0.107–0.143)</w:t>
            </w:r>
          </w:p>
        </w:tc>
        <w:tc>
          <w:p>
            <w:pPr>
              <w:pStyle w:val="Compact"/>
              <w:jc w:val="left"/>
            </w:pPr>
            <w:r>
              <w:t xml:space="preserve">1.52 (0.98–2.08)</w:t>
            </w:r>
          </w:p>
        </w:tc>
        <w:tc>
          <w:p>
            <w:pPr>
              <w:pStyle w:val="Compact"/>
              <w:jc w:val="left"/>
            </w:pPr>
            <w:r>
              <w:t xml:space="preserve">+0.011 (−0.017 to +0.037)</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left"/>
            </w:pPr>
            <w:r>
              <w:t xml:space="preserve">0.615 (0.565–0.664)</w:t>
            </w:r>
          </w:p>
        </w:tc>
        <w:tc>
          <w:p>
            <w:pPr>
              <w:pStyle w:val="Compact"/>
              <w:jc w:val="left"/>
            </w:pPr>
            <w:r>
              <w:t xml:space="preserve">0.151 (0.135–0.169)</w:t>
            </w:r>
          </w:p>
        </w:tc>
        <w:tc>
          <w:p>
            <w:pPr>
              <w:pStyle w:val="Compact"/>
              <w:jc w:val="left"/>
            </w:pPr>
            <w:r>
              <w:t xml:space="preserve">0.72 (0.42–1.04)</w:t>
            </w:r>
          </w:p>
        </w:tc>
        <w:tc>
          <w:p>
            <w:pPr>
              <w:pStyle w:val="Compact"/>
              <w:jc w:val="left"/>
            </w:pPr>
            <w:r>
              <w:t xml:space="preserve">−0.013 (−0.041 to +0.013)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left"/>
            </w:pPr>
            <w:r>
              <w:t xml:space="preserve">0.589 (0.537–0.642)</w:t>
            </w:r>
          </w:p>
        </w:tc>
        <w:tc>
          <w:p>
            <w:pPr>
              <w:pStyle w:val="Compact"/>
              <w:jc w:val="left"/>
            </w:pPr>
            <w:r>
              <w:t xml:space="preserve">0.153 (0.136–0.170)</w:t>
            </w:r>
          </w:p>
        </w:tc>
        <w:tc>
          <w:p>
            <w:pPr>
              <w:pStyle w:val="Compact"/>
              <w:jc w:val="left"/>
            </w:pPr>
            <w:r>
              <w:t xml:space="preserve">0.66 (0.30–1.00)</w:t>
            </w:r>
          </w:p>
        </w:tc>
        <w:tc>
          <w:p>
            <w:pPr>
              <w:pStyle w:val="Compact"/>
              <w:jc w:val="left"/>
            </w:pPr>
            <w:r>
              <w:t xml:space="preserve">−0.010 (−0.038 to +0.016)</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left"/>
            </w:pPr>
            <w:r>
              <w:t xml:space="preserve">0.594 (0.543–0.643)</w:t>
            </w:r>
          </w:p>
        </w:tc>
        <w:tc>
          <w:p>
            <w:pPr>
              <w:pStyle w:val="Compact"/>
              <w:jc w:val="left"/>
            </w:pPr>
            <w:r>
              <w:t xml:space="preserve">0.151 (0.135–0.168)</w:t>
            </w:r>
          </w:p>
        </w:tc>
        <w:tc>
          <w:p>
            <w:pPr>
              <w:pStyle w:val="Compact"/>
              <w:jc w:val="left"/>
            </w:pPr>
            <w:r>
              <w:t xml:space="preserve">0.93 (0.49–1.40)</w:t>
            </w:r>
          </w:p>
        </w:tc>
        <w:tc>
          <w:p>
            <w:pPr>
              <w:pStyle w:val="Compact"/>
              <w:jc w:val="left"/>
            </w:pPr>
            <w:r>
              <w:t xml:space="preserve">−0.014 (−0.042 to +0.012)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left"/>
            </w:pPr>
            <w:r>
              <w:t xml:space="preserve">0.665 (0.644–0.685)</w:t>
            </w:r>
          </w:p>
        </w:tc>
        <w:tc>
          <w:p>
            <w:pPr>
              <w:pStyle w:val="Compact"/>
              <w:jc w:val="left"/>
            </w:pPr>
            <w:r>
              <w:t xml:space="preserve">0.134 (0.127–0.140)</w:t>
            </w:r>
          </w:p>
        </w:tc>
        <w:tc>
          <w:p>
            <w:pPr>
              <w:pStyle w:val="Compact"/>
              <w:jc w:val="left"/>
            </w:pPr>
            <w:r>
              <w:t xml:space="preserve">1.00 (0.87–1.13)</w:t>
            </w:r>
          </w:p>
        </w:tc>
        <w:tc>
          <w:p>
            <w:pPr>
              <w:pStyle w:val="Compact"/>
              <w:jc w:val="left"/>
            </w:pPr>
            <w:r>
              <w:t xml:space="preserve">+0.003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left"/>
            </w:pPr>
            <w:r>
              <w:t xml:space="preserve">0.642 (0.620–0.662)</w:t>
            </w:r>
          </w:p>
        </w:tc>
        <w:tc>
          <w:p>
            <w:pPr>
              <w:pStyle w:val="Compact"/>
              <w:jc w:val="left"/>
            </w:pPr>
            <w:r>
              <w:t xml:space="preserve">0.135 (0.128–0.142)</w:t>
            </w:r>
          </w:p>
        </w:tc>
        <w:tc>
          <w:p>
            <w:pPr>
              <w:pStyle w:val="Compact"/>
              <w:jc w:val="left"/>
            </w:pPr>
            <w:r>
              <w:t xml:space="preserve">1.05 (0.88–1.19)</w:t>
            </w:r>
          </w:p>
        </w:tc>
        <w:tc>
          <w:p>
            <w:pPr>
              <w:pStyle w:val="Compact"/>
              <w:jc w:val="left"/>
            </w:pPr>
            <w:r>
              <w:t xml:space="preserve">+0.002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left"/>
            </w:pPr>
            <w:r>
              <w:t xml:space="preserve">0.632 (0.609–0.653)</w:t>
            </w:r>
          </w:p>
        </w:tc>
        <w:tc>
          <w:p>
            <w:pPr>
              <w:pStyle w:val="Compact"/>
              <w:jc w:val="left"/>
            </w:pPr>
            <w:r>
              <w:t xml:space="preserve">0.136 (0.130–0.143)</w:t>
            </w:r>
          </w:p>
        </w:tc>
        <w:tc>
          <w:p>
            <w:pPr>
              <w:pStyle w:val="Compact"/>
              <w:jc w:val="left"/>
            </w:pPr>
            <w:r>
              <w:t xml:space="preserve">1.19 (0.99–1.40)</w:t>
            </w:r>
          </w:p>
        </w:tc>
        <w:tc>
          <w:p>
            <w:pPr>
              <w:pStyle w:val="Compact"/>
              <w:jc w:val="left"/>
            </w:pPr>
            <w:r>
              <w:t xml:space="preserve">−0.003 (−0.012 to +0.007)</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21"/>
    <w:bookmarkStart w:id="22"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left"/>
            </w:pPr>
            <w:r>
              <w:t xml:space="preserve">0.683 (0.624–0.742)</w:t>
            </w:r>
          </w:p>
        </w:tc>
        <w:tc>
          <w:p>
            <w:pPr>
              <w:pStyle w:val="Compact"/>
              <w:jc w:val="left"/>
            </w:pPr>
            <w:r>
              <w:t xml:space="preserve">0.130 (0.111–0.149)</w:t>
            </w:r>
          </w:p>
        </w:tc>
        <w:tc>
          <w:p>
            <w:pPr>
              <w:pStyle w:val="Compact"/>
              <w:jc w:val="left"/>
            </w:pPr>
            <w:r>
              <w:t xml:space="preserve">1.39 (0.96–1.88)</w:t>
            </w:r>
          </w:p>
        </w:tc>
        <w:tc>
          <w:p>
            <w:pPr>
              <w:pStyle w:val="Compact"/>
              <w:jc w:val="left"/>
            </w:pPr>
            <w:r>
              <w:t xml:space="preserve">−0.020 (−0.049 to +0.007)</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left"/>
            </w:pPr>
            <w:r>
              <w:t xml:space="preserve">0.607 (0.547–0.667)</w:t>
            </w:r>
          </w:p>
        </w:tc>
        <w:tc>
          <w:p>
            <w:pPr>
              <w:pStyle w:val="Compact"/>
              <w:jc w:val="left"/>
            </w:pPr>
            <w:r>
              <w:t xml:space="preserve">0.135 (0.117–0.154)</w:t>
            </w:r>
          </w:p>
        </w:tc>
        <w:tc>
          <w:p>
            <w:pPr>
              <w:pStyle w:val="Compact"/>
              <w:jc w:val="left"/>
            </w:pPr>
            <w:r>
              <w:t xml:space="preserve">0.86 (0.30–1.40)</w:t>
            </w:r>
          </w:p>
        </w:tc>
        <w:tc>
          <w:p>
            <w:pPr>
              <w:pStyle w:val="Compact"/>
              <w:jc w:val="left"/>
            </w:pPr>
            <w:r>
              <w:t xml:space="preserve">−0.018 (−0.047 to +0.010)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left"/>
            </w:pPr>
            <w:r>
              <w:t xml:space="preserve">0.607 (0.547–0.668)</w:t>
            </w:r>
          </w:p>
        </w:tc>
        <w:tc>
          <w:p>
            <w:pPr>
              <w:pStyle w:val="Compact"/>
              <w:jc w:val="left"/>
            </w:pPr>
            <w:r>
              <w:t xml:space="preserve">0.137 (0.117–0.157)</w:t>
            </w:r>
          </w:p>
        </w:tc>
        <w:tc>
          <w:p>
            <w:pPr>
              <w:pStyle w:val="Compact"/>
              <w:jc w:val="left"/>
            </w:pPr>
            <w:r>
              <w:t xml:space="preserve">1.30 (0.54–2.12)</w:t>
            </w:r>
          </w:p>
        </w:tc>
        <w:tc>
          <w:p>
            <w:pPr>
              <w:pStyle w:val="Compact"/>
              <w:jc w:val="left"/>
            </w:pPr>
            <w:r>
              <w:t xml:space="preserve">−0.020 (−0.049 to +0.008)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left"/>
            </w:pPr>
            <w:r>
              <w:t xml:space="preserve">0.652 (0.618–0.687)</w:t>
            </w:r>
          </w:p>
        </w:tc>
        <w:tc>
          <w:p>
            <w:pPr>
              <w:pStyle w:val="Compact"/>
              <w:jc w:val="left"/>
            </w:pPr>
            <w:r>
              <w:t xml:space="preserve">0.142 (0.131–0.155)</w:t>
            </w:r>
          </w:p>
        </w:tc>
        <w:tc>
          <w:p>
            <w:pPr>
              <w:pStyle w:val="Compact"/>
              <w:jc w:val="left"/>
            </w:pPr>
            <w:r>
              <w:t xml:space="preserve">0.98 (0.74–1.24)</w:t>
            </w:r>
          </w:p>
        </w:tc>
        <w:tc>
          <w:p>
            <w:pPr>
              <w:pStyle w:val="Compact"/>
              <w:jc w:val="left"/>
            </w:pPr>
            <w:r>
              <w:t xml:space="preserve">+0.003 (−0.018 to +0.021)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left"/>
            </w:pPr>
            <w:r>
              <w:t xml:space="preserve">0.634 (0.599–0.670)</w:t>
            </w:r>
          </w:p>
        </w:tc>
        <w:tc>
          <w:p>
            <w:pPr>
              <w:pStyle w:val="Compact"/>
              <w:jc w:val="left"/>
            </w:pPr>
            <w:r>
              <w:t xml:space="preserve">0.142 (0.131–0.155)</w:t>
            </w:r>
          </w:p>
        </w:tc>
        <w:tc>
          <w:p>
            <w:pPr>
              <w:pStyle w:val="Compact"/>
              <w:jc w:val="left"/>
            </w:pPr>
            <w:r>
              <w:t xml:space="preserve">1.06 (0.75–1.38)</w:t>
            </w:r>
          </w:p>
        </w:tc>
        <w:tc>
          <w:p>
            <w:pPr>
              <w:pStyle w:val="Compact"/>
              <w:jc w:val="left"/>
            </w:pPr>
            <w:r>
              <w:t xml:space="preserve">+0.001 (−0.020 to +0.018)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left"/>
            </w:pPr>
            <w:r>
              <w:t xml:space="preserve">0.631 (0.593–0.666)</w:t>
            </w:r>
          </w:p>
        </w:tc>
        <w:tc>
          <w:p>
            <w:pPr>
              <w:pStyle w:val="Compact"/>
              <w:jc w:val="left"/>
            </w:pPr>
            <w:r>
              <w:t xml:space="preserve">0.143 (0.132–0.157)</w:t>
            </w:r>
          </w:p>
        </w:tc>
        <w:tc>
          <w:p>
            <w:pPr>
              <w:pStyle w:val="Compact"/>
              <w:jc w:val="left"/>
            </w:pPr>
            <w:r>
              <w:t xml:space="preserve">1.58 (1.10–2.09)</w:t>
            </w:r>
          </w:p>
        </w:tc>
        <w:tc>
          <w:p>
            <w:pPr>
              <w:pStyle w:val="Compact"/>
              <w:jc w:val="left"/>
            </w:pPr>
            <w:r>
              <w:t xml:space="preserve">−0.005 (−0.026 to +0.013)</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left"/>
            </w:pPr>
            <w:r>
              <w:t xml:space="preserve">0.700 (0.648–0.749)</w:t>
            </w:r>
          </w:p>
        </w:tc>
        <w:tc>
          <w:p>
            <w:pPr>
              <w:pStyle w:val="Compact"/>
              <w:jc w:val="left"/>
            </w:pPr>
            <w:r>
              <w:t xml:space="preserve">0.187 (0.171–0.201)</w:t>
            </w:r>
          </w:p>
        </w:tc>
        <w:tc>
          <w:p>
            <w:pPr>
              <w:pStyle w:val="Compact"/>
              <w:jc w:val="left"/>
            </w:pPr>
            <w:r>
              <w:t xml:space="preserve">1.21 (0.88–1.56)</w:t>
            </w:r>
          </w:p>
        </w:tc>
        <w:tc>
          <w:p>
            <w:pPr>
              <w:pStyle w:val="Compact"/>
              <w:jc w:val="left"/>
            </w:pPr>
            <w:r>
              <w:t xml:space="preserve">+0.029 (−0.007 to +0.070)</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left"/>
            </w:pPr>
            <w:r>
              <w:t xml:space="preserve">0.636 (0.578–0.690)</w:t>
            </w:r>
          </w:p>
        </w:tc>
        <w:tc>
          <w:p>
            <w:pPr>
              <w:pStyle w:val="Compact"/>
              <w:jc w:val="left"/>
            </w:pPr>
            <w:r>
              <w:t xml:space="preserve">0.197 (0.181–0.212)</w:t>
            </w:r>
          </w:p>
        </w:tc>
        <w:tc>
          <w:p>
            <w:pPr>
              <w:pStyle w:val="Compact"/>
              <w:jc w:val="left"/>
            </w:pPr>
            <w:r>
              <w:t xml:space="preserve">0.88 (0.54–1.25)</w:t>
            </w:r>
          </w:p>
        </w:tc>
        <w:tc>
          <w:p>
            <w:pPr>
              <w:pStyle w:val="Compact"/>
              <w:jc w:val="left"/>
            </w:pPr>
            <w:r>
              <w:t xml:space="preserve">+0.029 (−0.008 to +0.071)</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left"/>
            </w:pPr>
            <w:r>
              <w:t xml:space="preserve">0.678 (0.622–0.730)</w:t>
            </w:r>
          </w:p>
        </w:tc>
        <w:tc>
          <w:p>
            <w:pPr>
              <w:pStyle w:val="Compact"/>
              <w:jc w:val="left"/>
            </w:pPr>
            <w:r>
              <w:t xml:space="preserve">0.193 (0.178–0.208)</w:t>
            </w:r>
          </w:p>
        </w:tc>
        <w:tc>
          <w:p>
            <w:pPr>
              <w:pStyle w:val="Compact"/>
              <w:jc w:val="left"/>
            </w:pPr>
            <w:r>
              <w:t xml:space="preserve">1.86 (1.27–2.50)</w:t>
            </w:r>
          </w:p>
        </w:tc>
        <w:tc>
          <w:p>
            <w:pPr>
              <w:pStyle w:val="Compact"/>
              <w:jc w:val="left"/>
            </w:pPr>
            <w:r>
              <w:t xml:space="preserve">+0.014 (−0.021 to +0.055)</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left"/>
            </w:pPr>
            <w:r>
              <w:t xml:space="preserve">0.641 (0.621–0.660)</w:t>
            </w:r>
          </w:p>
        </w:tc>
        <w:tc>
          <w:p>
            <w:pPr>
              <w:pStyle w:val="Compact"/>
              <w:jc w:val="left"/>
            </w:pPr>
            <w:r>
              <w:t xml:space="preserve">0.133 (0.127–0.139)</w:t>
            </w:r>
          </w:p>
        </w:tc>
        <w:tc>
          <w:p>
            <w:pPr>
              <w:pStyle w:val="Compact"/>
              <w:jc w:val="left"/>
            </w:pPr>
            <w:r>
              <w:t xml:space="preserve">0.94 (0.81–1.07)</w:t>
            </w:r>
          </w:p>
        </w:tc>
        <w:tc>
          <w:p>
            <w:pPr>
              <w:pStyle w:val="Compact"/>
              <w:jc w:val="left"/>
            </w:pPr>
            <w:r>
              <w:t xml:space="preserve">−0.000 (−0.010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left"/>
            </w:pPr>
            <w:r>
              <w:t xml:space="preserve">0.615 (0.595–0.634)</w:t>
            </w:r>
          </w:p>
        </w:tc>
        <w:tc>
          <w:p>
            <w:pPr>
              <w:pStyle w:val="Compact"/>
              <w:jc w:val="left"/>
            </w:pPr>
            <w:r>
              <w:t xml:space="preserve">0.134 (0.128–0.141)</w:t>
            </w:r>
          </w:p>
        </w:tc>
        <w:tc>
          <w:p>
            <w:pPr>
              <w:pStyle w:val="Compact"/>
              <w:jc w:val="left"/>
            </w:pPr>
            <w:r>
              <w:t xml:space="preserve">0.98 (0.83–1.15)</w:t>
            </w:r>
          </w:p>
        </w:tc>
        <w:tc>
          <w:p>
            <w:pPr>
              <w:pStyle w:val="Compact"/>
              <w:jc w:val="left"/>
            </w:pPr>
            <w:r>
              <w:t xml:space="preserve">−0.001 (−0.011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left"/>
            </w:pPr>
            <w:r>
              <w:t xml:space="preserve">0.609 (0.590–0.628)</w:t>
            </w:r>
          </w:p>
        </w:tc>
        <w:tc>
          <w:p>
            <w:pPr>
              <w:pStyle w:val="Compact"/>
              <w:jc w:val="left"/>
            </w:pPr>
            <w:r>
              <w:t xml:space="preserve">0.135 (0.129–0.142)</w:t>
            </w:r>
          </w:p>
        </w:tc>
        <w:tc>
          <w:p>
            <w:pPr>
              <w:pStyle w:val="Compact"/>
              <w:jc w:val="left"/>
            </w:pPr>
            <w:r>
              <w:t xml:space="preserve">1.14 (0.94–1.35)</w:t>
            </w:r>
          </w:p>
        </w:tc>
        <w:tc>
          <w:p>
            <w:pPr>
              <w:pStyle w:val="Compact"/>
              <w:jc w:val="left"/>
            </w:pPr>
            <w:r>
              <w:t xml:space="preserve">−0.003 (−0.013 to +0.006)</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left"/>
            </w:pPr>
            <w:r>
              <w:t xml:space="preserve">0.690 (0.638–0.748)</w:t>
            </w:r>
          </w:p>
        </w:tc>
        <w:tc>
          <w:p>
            <w:pPr>
              <w:pStyle w:val="Compact"/>
              <w:jc w:val="left"/>
            </w:pPr>
            <w:r>
              <w:t xml:space="preserve">0.130 (0.113–0.149)</w:t>
            </w:r>
          </w:p>
        </w:tc>
        <w:tc>
          <w:p>
            <w:pPr>
              <w:pStyle w:val="Compact"/>
              <w:jc w:val="left"/>
            </w:pPr>
            <w:r>
              <w:t xml:space="preserve">1.33 (0.92–1.86)</w:t>
            </w:r>
          </w:p>
        </w:tc>
        <w:tc>
          <w:p>
            <w:pPr>
              <w:pStyle w:val="Compact"/>
              <w:jc w:val="left"/>
            </w:pPr>
            <w:r>
              <w:t xml:space="preserve">+0.008 (−0.022 to +0.037)</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left"/>
            </w:pPr>
            <w:r>
              <w:t xml:space="preserve">0.627 (0.565–0.687)</w:t>
            </w:r>
          </w:p>
        </w:tc>
        <w:tc>
          <w:p>
            <w:pPr>
              <w:pStyle w:val="Compact"/>
              <w:jc w:val="left"/>
            </w:pPr>
            <w:r>
              <w:t xml:space="preserve">0.134 (0.116–0.153)</w:t>
            </w:r>
          </w:p>
        </w:tc>
        <w:tc>
          <w:p>
            <w:pPr>
              <w:pStyle w:val="Compact"/>
              <w:jc w:val="left"/>
            </w:pPr>
            <w:r>
              <w:t xml:space="preserve">1.13 (0.59–1.75)</w:t>
            </w:r>
          </w:p>
        </w:tc>
        <w:tc>
          <w:p>
            <w:pPr>
              <w:pStyle w:val="Compact"/>
              <w:jc w:val="left"/>
            </w:pPr>
            <w:r>
              <w:t xml:space="preserve">+0.010 (−0.020 to +0.038)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left"/>
            </w:pPr>
            <w:r>
              <w:t xml:space="preserve">0.628 (0.567–0.688)</w:t>
            </w:r>
          </w:p>
        </w:tc>
        <w:tc>
          <w:p>
            <w:pPr>
              <w:pStyle w:val="Compact"/>
              <w:jc w:val="left"/>
            </w:pPr>
            <w:r>
              <w:t xml:space="preserve">0.135 (0.116–0.156)</w:t>
            </w:r>
          </w:p>
        </w:tc>
        <w:tc>
          <w:p>
            <w:pPr>
              <w:pStyle w:val="Compact"/>
              <w:jc w:val="left"/>
            </w:pPr>
            <w:r>
              <w:t xml:space="preserve">2.22 (1.18–3.50)</w:t>
            </w:r>
          </w:p>
        </w:tc>
        <w:tc>
          <w:p>
            <w:pPr>
              <w:pStyle w:val="Compact"/>
              <w:jc w:val="left"/>
            </w:pPr>
            <w:r>
              <w:t xml:space="preserve">+0.003 (−0.028 to +0.032)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left"/>
            </w:pPr>
            <w:r>
              <w:t xml:space="preserve">0.698 (0.671–0.726)</w:t>
            </w:r>
          </w:p>
        </w:tc>
        <w:tc>
          <w:p>
            <w:pPr>
              <w:pStyle w:val="Compact"/>
              <w:jc w:val="left"/>
            </w:pPr>
            <w:r>
              <w:t xml:space="preserve">0.146 (0.136–0.156)</w:t>
            </w:r>
          </w:p>
        </w:tc>
        <w:tc>
          <w:p>
            <w:pPr>
              <w:pStyle w:val="Compact"/>
              <w:jc w:val="left"/>
            </w:pPr>
            <w:r>
              <w:t xml:space="preserve">1.09 (0.94–1.26)</w:t>
            </w:r>
          </w:p>
        </w:tc>
        <w:tc>
          <w:p>
            <w:pPr>
              <w:pStyle w:val="Compact"/>
              <w:jc w:val="left"/>
            </w:pPr>
            <w:r>
              <w:t xml:space="preserve">−0.000 (−0.017 to +0.015)</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left"/>
            </w:pPr>
            <w:r>
              <w:t xml:space="preserve">0.676 (0.648–0.703)</w:t>
            </w:r>
          </w:p>
        </w:tc>
        <w:tc>
          <w:p>
            <w:pPr>
              <w:pStyle w:val="Compact"/>
              <w:jc w:val="left"/>
            </w:pPr>
            <w:r>
              <w:t xml:space="preserve">0.148 (0.139–0.158)</w:t>
            </w:r>
          </w:p>
        </w:tc>
        <w:tc>
          <w:p>
            <w:pPr>
              <w:pStyle w:val="Compact"/>
              <w:jc w:val="left"/>
            </w:pPr>
            <w:r>
              <w:t xml:space="preserve">1.07 (0.90–1.26)</w:t>
            </w:r>
          </w:p>
        </w:tc>
        <w:tc>
          <w:p>
            <w:pPr>
              <w:pStyle w:val="Compact"/>
              <w:jc w:val="left"/>
            </w:pPr>
            <w:r>
              <w:t xml:space="preserve">−0.002 (−0.018 to +0.014)</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left"/>
            </w:pPr>
            <w:r>
              <w:t xml:space="preserve">0.666 (0.639–0.693)</w:t>
            </w:r>
          </w:p>
        </w:tc>
        <w:tc>
          <w:p>
            <w:pPr>
              <w:pStyle w:val="Compact"/>
              <w:jc w:val="left"/>
            </w:pPr>
            <w:r>
              <w:t xml:space="preserve">0.150 (0.140–0.160)</w:t>
            </w:r>
          </w:p>
        </w:tc>
        <w:tc>
          <w:p>
            <w:pPr>
              <w:pStyle w:val="Compact"/>
              <w:jc w:val="left"/>
            </w:pPr>
            <w:r>
              <w:t xml:space="preserve">1.26 (1.07–1.48)</w:t>
            </w:r>
          </w:p>
        </w:tc>
        <w:tc>
          <w:p>
            <w:pPr>
              <w:pStyle w:val="Compact"/>
              <w:jc w:val="left"/>
            </w:pPr>
            <w:r>
              <w:t xml:space="preserve">−0.005 (−0.021 to +0.011)</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left"/>
            </w:pPr>
            <w:r>
              <w:t xml:space="preserve">0.633 (0.612–0.652)</w:t>
            </w:r>
          </w:p>
        </w:tc>
        <w:tc>
          <w:p>
            <w:pPr>
              <w:pStyle w:val="Compact"/>
              <w:jc w:val="left"/>
            </w:pPr>
            <w:r>
              <w:t xml:space="preserve">0.134 (0.128–0.141)</w:t>
            </w:r>
          </w:p>
        </w:tc>
        <w:tc>
          <w:p>
            <w:pPr>
              <w:pStyle w:val="Compact"/>
              <w:jc w:val="left"/>
            </w:pPr>
            <w:r>
              <w:t xml:space="preserve">0.86 (0.73–0.99)</w:t>
            </w:r>
          </w:p>
        </w:tc>
        <w:tc>
          <w:p>
            <w:pPr>
              <w:pStyle w:val="Compact"/>
              <w:jc w:val="left"/>
            </w:pPr>
            <w:r>
              <w:t xml:space="preserve">+0.000 (−0.010 to +0.010)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left"/>
            </w:pPr>
            <w:r>
              <w:t xml:space="preserve">0.605 (0.584–0.626)</w:t>
            </w:r>
          </w:p>
        </w:tc>
        <w:tc>
          <w:p>
            <w:pPr>
              <w:pStyle w:val="Compact"/>
              <w:jc w:val="left"/>
            </w:pPr>
            <w:r>
              <w:t xml:space="preserve">0.136 (0.130–0.143)</w:t>
            </w:r>
          </w:p>
        </w:tc>
        <w:tc>
          <w:p>
            <w:pPr>
              <w:pStyle w:val="Compact"/>
              <w:jc w:val="left"/>
            </w:pPr>
            <w:r>
              <w:t xml:space="preserve">0.83 (0.67–0.99)</w:t>
            </w:r>
          </w:p>
        </w:tc>
        <w:tc>
          <w:p>
            <w:pPr>
              <w:pStyle w:val="Compact"/>
              <w:jc w:val="left"/>
            </w:pPr>
            <w:r>
              <w:t xml:space="preserve">−0.000 (−0.011 to +0.009)</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left"/>
            </w:pPr>
            <w:r>
              <w:t xml:space="preserve">0.603 (0.584–0.623)</w:t>
            </w:r>
          </w:p>
        </w:tc>
        <w:tc>
          <w:p>
            <w:pPr>
              <w:pStyle w:val="Compact"/>
              <w:jc w:val="left"/>
            </w:pPr>
            <w:r>
              <w:t xml:space="preserve">0.136 (0.130–0.143)</w:t>
            </w:r>
          </w:p>
        </w:tc>
        <w:tc>
          <w:p>
            <w:pPr>
              <w:pStyle w:val="Compact"/>
              <w:jc w:val="left"/>
            </w:pPr>
            <w:r>
              <w:t xml:space="preserve">1.03 (0.83–1.22)</w:t>
            </w:r>
          </w:p>
        </w:tc>
        <w:tc>
          <w:p>
            <w:pPr>
              <w:pStyle w:val="Compact"/>
              <w:jc w:val="left"/>
            </w:pPr>
            <w:r>
              <w:t xml:space="preserve">−0.004 (−0.014 to +0.006)</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22"/>
    <w:bookmarkStart w:id="24" w:name="s9-4-adjusted-subgroup-comparisons"/>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 (95% CI -0.117 to -0.022)</w:t>
            </w:r>
          </w:p>
        </w:tc>
        <w:tc>
          <w:p>
            <w:pPr>
              <w:pStyle w:val="Compact"/>
              <w:jc w:val="left"/>
            </w:pPr>
            <w:r>
              <w:t xml:space="preserve">0.042</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+0.053 to +0.060</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0.027</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-0.058 to -0.047</w:t>
            </w:r>
          </w:p>
        </w:tc>
        <w:tc>
          <w:p>
            <w:pPr>
              <w:pStyle w:val="Compact"/>
              <w:jc w:val="left"/>
            </w:pPr>
            <w:r>
              <w:t xml:space="preserve">0.027</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0.015</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 (95% CI -0.079 to -0.011)</w:t>
            </w:r>
          </w:p>
        </w:tc>
        <w:tc>
          <w:p>
            <w:pPr>
              <w:pStyle w:val="Compact"/>
              <w:jc w:val="left"/>
            </w:pPr>
            <w:r>
              <w:t xml:space="preserve">0.042</w:t>
            </w:r>
          </w:p>
        </w:tc>
      </w:tr>
    </w:tbl>
    <w:p>
      <w:pPr>
        <w:pStyle w:val="BodyText"/>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importance-weighted +0.064, adjusted P=.18).</w:t>
      </w:r>
    </w:p>
    <w:p>
      <w:pPr>
        <w:pStyle w:val="BodyText"/>
      </w:pPr>
      <w:r>
        <w:t xml:space="preserve">The remaining 4 adjusted contrasts indicated lower discrimination among never-married patients in 2 EMBEDDED classifiers (−0.054 to −0.051; minimum adjusted P=.015)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23"/>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24"/>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2026-09-30T04:37:59Z</dcterms:created>
  <dcterms:modified xsi:type="dcterms:W3CDTF">2026-09-30T04:37:59Z</dcterms:modified>
</cp:coreProperties>
</file>

<file path=docProps/custom.xml><?xml version="1.0" encoding="utf-8"?>
<Properties xmlns="http://schemas.openxmlformats.org/officeDocument/2006/custom-properties" xmlns:vt="http://schemas.openxmlformats.org/officeDocument/2006/docPropsVTypes"/>
</file>