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the-ink-round-of-2026-09-29-item-by-item"/>
    <w:p>
      <w:pPr>
        <w:pStyle w:val="Heading1"/>
      </w:pPr>
      <w:r>
        <w:t xml:space="preserve">The ink round of 2026-09-29, item by item</w:t>
      </w:r>
    </w:p>
    <w:p>
      <w:pPr>
        <w:pStyle w:val="FirstParagraph"/>
      </w:pPr>
      <w:r>
        <w:rPr>
          <w:bCs/>
          <w:b/>
        </w:rPr>
        <w:t xml:space="preserve">Internal. Not part of the submitted packet.</w:t>
      </w:r>
    </w:p>
    <w:p>
      <w:pPr>
        <w:pStyle w:val="BodyText"/>
      </w:pPr>
      <w:r>
        <w:t xml:space="preserve">Sixteen ink marks on pages 1–7 of the 2026-09-29 manuscript.pdf. Fourteen ask for</w:t>
      </w:r>
      <w:r>
        <w:t xml:space="preserve"> </w:t>
      </w:r>
      <w:r>
        <w:t xml:space="preserve">a change, one is an author-contribution note, and one records that pages 8–22</w:t>
      </w:r>
      <w:r>
        <w:t xml:space="preserve"> </w:t>
      </w:r>
      <w:r>
        <w:t xml:space="preserve">carry no marks. No typed feedback is newer than 2026-09-28.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Disposition</w:t>
            </w:r>
          </w:p>
        </w:tc>
        <w:tc>
          <w:p>
            <w:pPr>
              <w:pStyle w:val="Compact"/>
              <w:jc w:val="right"/>
            </w:pPr>
            <w:r>
              <w:t xml:space="preserve">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right"/>
            </w:pPr>
            <w:r>
              <w:t xml:space="preserve">2–14 (13)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Pushed back</w:t>
            </w:r>
          </w:p>
        </w:tc>
        <w:tc>
          <w:p>
            <w:pPr>
              <w:pStyle w:val="Compact"/>
              <w:jc w:val="right"/>
            </w:pPr>
            <w:r>
              <w:t xml:space="preserve">none; item 5 corrects the sketch’s proportions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action needed</w:t>
            </w:r>
          </w:p>
        </w:tc>
        <w:tc>
          <w:p>
            <w:pPr>
              <w:pStyle w:val="Compact"/>
              <w:jc w:val="right"/>
            </w:pPr>
            <w:r>
              <w:t xml:space="preserve">15, 16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6" w:name="the-marks"/>
    <w:p>
      <w:pPr>
        <w:pStyle w:val="Heading2"/>
      </w:pPr>
      <w:r>
        <w:t xml:space="preserve">The marks</w:t>
      </w:r>
    </w:p>
    <w:bookmarkStart w:id="20" w:name="Xd8b32b8004326d5750381281e2ca532958c5710"/>
    <w:p>
      <w:pPr>
        <w:pStyle w:val="Heading3"/>
      </w:pPr>
      <w:r>
        <w:t xml:space="preserve">1. p1,</w:t>
      </w:r>
      <w:r>
        <w:t xml:space="preserve"> </w:t>
      </w:r>
      <w:r>
        <w:t xml:space="preserve">“</w:t>
      </w:r>
      <w:r>
        <w:t xml:space="preserve">Corresponding Author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Martin pretty much wrote everything except the methods/results/supplement figures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Partly.</w:t>
      </w:r>
      <w:r>
        <w:t xml:space="preserve"> </w:t>
      </w:r>
      <w:r>
        <w:t xml:space="preserve">Authors’ Contributions now credits the writing correctly. The</w:t>
      </w:r>
      <w:r>
        <w:t xml:space="preserve"> </w:t>
      </w:r>
      <w:r>
        <w:t xml:space="preserve">corresponding author is unchanged: moving it to Martin needs his agreement, so it</w:t>
      </w:r>
      <w:r>
        <w:t xml:space="preserve"> </w:t>
      </w:r>
      <w:r>
        <w:t xml:space="preserve">is a question for him, not an edit.</w:t>
      </w:r>
    </w:p>
    <w:p>
      <w:pPr>
        <w:pStyle w:val="BlockText"/>
      </w:pPr>
      <w:r>
        <w:t xml:space="preserve">MF designed and implemented the analysis pipeline, performed all modeling and</w:t>
      </w:r>
      <w:r>
        <w:t xml:space="preserve"> </w:t>
      </w:r>
      <w:r>
        <w:t xml:space="preserve">statistical analysis, produced all figures and tables, including those in</w:t>
      </w:r>
      <w:r>
        <w:t xml:space="preserve"> </w:t>
      </w:r>
      <w:r>
        <w:t xml:space="preserve">Multimedia Appendix 1, and wrote the Methods and Results. MP directed the</w:t>
      </w:r>
      <w:r>
        <w:t xml:space="preserve"> </w:t>
      </w:r>
      <w:r>
        <w:t xml:space="preserve">project, supervised its scientific design and interpretation, and wrote the rest</w:t>
      </w:r>
      <w:r>
        <w:t xml:space="preserve"> </w:t>
      </w:r>
      <w:r>
        <w:t xml:space="preserve">of the manuscript.</w:t>
      </w:r>
    </w:p>
    <w:bookmarkEnd w:id="20"/>
    <w:bookmarkStart w:id="21" w:name="X7df2a3affc508840deb7d84b9e9fabec27e642f"/>
    <w:p>
      <w:pPr>
        <w:pStyle w:val="Heading3"/>
      </w:pPr>
      <w:r>
        <w:t xml:space="preserve">2. p2, Abstract Conclusions:</w:t>
      </w:r>
      <w:r>
        <w:t xml:space="preserve"> </w:t>
      </w:r>
      <w:r>
        <w:t xml:space="preserve">“</w:t>
      </w:r>
      <w:r>
        <w:t xml:space="preserve">and prioritize validation of the outcome, transportability, and clinical value before deployment.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What does this mean?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Done.</w:t>
      </w:r>
      <w:r>
        <w:t xml:space="preserve"> </w:t>
      </w:r>
      <w:r>
        <w:t xml:space="preserve">The clause is now 3 named tests.</w:t>
      </w:r>
    </w:p>
    <w:p>
      <w:pPr>
        <w:pStyle w:val="BlockText"/>
      </w:pPr>
      <w:r>
        <w:t xml:space="preserve">These findings support structured features as a practical benchmark. Before</w:t>
      </w:r>
      <w:r>
        <w:t xml:space="preserve"> </w:t>
      </w:r>
      <w:r>
        <w:t xml:space="preserve">either pipeline is used in care, 3 things need testing: whether the switching</w:t>
      </w:r>
      <w:r>
        <w:t xml:space="preserve"> </w:t>
      </w:r>
      <w:r>
        <w:t xml:space="preserve">label reflects true treatment resistance, whether the models work in other</w:t>
      </w:r>
      <w:r>
        <w:t xml:space="preserve"> </w:t>
      </w:r>
      <w:r>
        <w:t xml:space="preserve">health systems, and whether their predictions improve clinical decisions.</w:t>
      </w:r>
    </w:p>
    <w:bookmarkEnd w:id="21"/>
    <w:bookmarkStart w:id="22" w:name="p3-introduction-longitudinal-meaning"/>
    <w:p>
      <w:pPr>
        <w:pStyle w:val="Heading3"/>
      </w:pPr>
      <w:r>
        <w:t xml:space="preserve">3. p3, Introduction:</w:t>
      </w:r>
      <w:r>
        <w:t xml:space="preserve"> </w:t>
      </w:r>
      <w:r>
        <w:t xml:space="preserve">“</w:t>
      </w:r>
      <w:r>
        <w:t xml:space="preserve">longitudinal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Meaning?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Done.</w:t>
      </w:r>
    </w:p>
    <w:p>
      <w:pPr>
        <w:pStyle w:val="BlockText"/>
      </w:pPr>
      <w:r>
        <w:t xml:space="preserve">Electronic health records (EHRs) record diagnoses, prescribing, and health care</w:t>
      </w:r>
      <w:r>
        <w:t xml:space="preserve"> </w:t>
      </w:r>
      <w:r>
        <w:t xml:space="preserve">use over time.</w:t>
      </w:r>
    </w:p>
    <w:bookmarkEnd w:id="22"/>
    <w:bookmarkStart w:id="23" w:name="Xdd367eec33230151a1a8fa38d834f2cb1098c8d"/>
    <w:p>
      <w:pPr>
        <w:pStyle w:val="Heading3"/>
      </w:pPr>
      <w:r>
        <w:t xml:space="preserve">4. p4, end of Introduction:</w:t>
      </w:r>
      <w:r>
        <w:t xml:space="preserve"> </w:t>
      </w:r>
      <w:r>
        <w:t xml:space="preserve">“</w:t>
      </w:r>
      <w:r>
        <w:t xml:space="preserve">The comparison concerns complete representation pipelines because their field inventories were not identical.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 don’t understand this sentence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Done, by cutting it.</w:t>
      </w:r>
      <w:r>
        <w:t xml:space="preserve"> </w:t>
      </w:r>
      <w:r>
        <w:t xml:space="preserve">Methods,</w:t>
      </w:r>
      <w:r>
        <w:t xml:space="preserve"> </w:t>
      </w:r>
      <w:r>
        <w:rPr>
          <w:iCs/>
          <w:i/>
        </w:rPr>
        <w:t xml:space="preserve">Patient Representations and Missing Data</w:t>
      </w:r>
      <w:r>
        <w:t xml:space="preserve">,</w:t>
      </w:r>
      <w:r>
        <w:t xml:space="preserve"> </w:t>
      </w:r>
      <w:r>
        <w:t xml:space="preserve">already says in plain words which fields each pipeline had and lacked.</w:t>
      </w:r>
    </w:p>
    <w:bookmarkEnd w:id="23"/>
    <w:bookmarkStart w:id="24" w:name="Xda93b237063d732f78f79bb7031b0e09fec7445"/>
    <w:p>
      <w:pPr>
        <w:pStyle w:val="Heading3"/>
      </w:pPr>
      <w:r>
        <w:t xml:space="preserve">5. p4, Study Design:</w:t>
      </w:r>
      <w:r>
        <w:t xml:space="preserve"> </w:t>
      </w:r>
      <w:r>
        <w:t xml:space="preserve">“</w:t>
      </w:r>
      <w:r>
        <w:t xml:space="preserve">The resulting sample was enriched … 12,530 eligible patients (29.4%) entered through the randomly sampled group.</w:t>
      </w:r>
      <w:r>
        <w:t xml:space="preserve">”</w:t>
      </w:r>
      <w:r>
        <w:t xml:space="preserve"> </w:t>
      </w:r>
      <w:r>
        <w:t xml:space="preserve">— sketch: 80% flagged, 20% random</w:t>
      </w:r>
    </w:p>
    <w:p>
      <w:pPr>
        <w:pStyle w:val="FirstParagraph"/>
      </w:pPr>
      <w:r>
        <w:rPr>
          <w:bCs/>
          <w:b/>
        </w:rPr>
        <w:t xml:space="preserve">Done, with one correction to the sketch.</w:t>
      </w:r>
      <w:r>
        <w:t xml:space="preserve"> </w:t>
      </w:r>
      <w:r>
        <w:t xml:space="preserve">The shape is right: 2 groups, and</w:t>
      </w:r>
      <w:r>
        <w:t xml:space="preserve"> </w:t>
      </w:r>
      <w:r>
        <w:t xml:space="preserve">some of the unflagged random sample still qualified. The proportions are reversed.</w:t>
      </w:r>
      <w:r>
        <w:t xml:space="preserve"> </w:t>
      </w:r>
      <w:r>
        <w:t xml:space="preserve">Flagged patients are 20.0% of the extract (100,420) and the random unflagged sample</w:t>
      </w:r>
      <w:r>
        <w:t xml:space="preserve"> </w:t>
      </w:r>
      <w:r>
        <w:t xml:space="preserve">is 80.0% (401,298), the 4:1 design in Supplement M1. The 29.4% is the unflagged</w:t>
      </w:r>
      <w:r>
        <w:t xml:space="preserve"> </w:t>
      </w:r>
      <w:r>
        <w:t xml:space="preserve">share of the eligible cohort, not of the extract. The 20.0% and 80.0% carry no</w:t>
      </w:r>
      <w:r>
        <w:t xml:space="preserve"> </w:t>
      </w:r>
      <w:r>
        <w:t xml:space="preserve">interval because they are the design’s own counts, not estimates.</w:t>
      </w:r>
    </w:p>
    <w:p>
      <w:pPr>
        <w:pStyle w:val="BlockText"/>
      </w:pPr>
      <w:r>
        <w:t xml:space="preserve">The extract combined 2 groups: every patient with a depression flag on the</w:t>
      </w:r>
      <w:r>
        <w:t xml:space="preserve"> </w:t>
      </w:r>
      <w:r>
        <w:t xml:space="preserve">problem list (100,420, 20.0%) and a random sample of patients without that flag</w:t>
      </w:r>
      <w:r>
        <w:t xml:space="preserve"> </w:t>
      </w:r>
      <w:r>
        <w:t xml:space="preserve">(401,298, 80.0%). Eligibility was then decided from diagnoses recorded at</w:t>
      </w:r>
      <w:r>
        <w:t xml:space="preserve"> </w:t>
      </w:r>
      <w:r>
        <w:t xml:space="preserve">encounters, not from the flag. Some patients in the random sample therefore</w:t>
      </w:r>
      <w:r>
        <w:t xml:space="preserve"> </w:t>
      </w:r>
      <w:r>
        <w:t xml:space="preserve">qualified: 12,530 of the 42,579 eligible patients (29.4%, 95% CI 29.0–29.9) had</w:t>
      </w:r>
      <w:r>
        <w:t xml:space="preserve"> </w:t>
      </w:r>
      <w:r>
        <w:t xml:space="preserve">no depression flag. Because every flagged patient was kept, the sample</w:t>
      </w:r>
      <w:r>
        <w:t xml:space="preserve"> </w:t>
      </w:r>
      <w:r>
        <w:t xml:space="preserve">over-represents depression, and its outcome frequency is not the health</w:t>
      </w:r>
      <w:r>
        <w:t xml:space="preserve"> </w:t>
      </w:r>
      <w:r>
        <w:t xml:space="preserve">system’s.</w:t>
      </w:r>
    </w:p>
    <w:bookmarkEnd w:id="24"/>
    <w:bookmarkStart w:id="25" w:name="X9b7fcfbbcd7764989e150f9ea0271a85f5be5e0"/>
    <w:p>
      <w:pPr>
        <w:pStyle w:val="Heading3"/>
      </w:pPr>
      <w:r>
        <w:t xml:space="preserve">6. p4, Participants:</w:t>
      </w:r>
      <w:r>
        <w:t xml:space="preserve"> </w:t>
      </w:r>
      <w:r>
        <w:t xml:space="preserve">“</w:t>
      </w:r>
      <w:r>
        <w:t xml:space="preserve">Index selection did not require …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How can index selection require anything?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Done</w:t>
      </w:r>
      <w:r>
        <w:t xml:space="preserve">, here and in Supplement M2.</w:t>
      </w:r>
    </w:p>
    <w:p>
      <w:pPr>
        <w:pStyle w:val="BlockText"/>
      </w:pPr>
      <w:r>
        <w:t xml:space="preserve">The index was chosen without looking at anything after it, such as later dose,</w:t>
      </w:r>
      <w:r>
        <w:t xml:space="preserve"> </w:t>
      </w:r>
      <w:r>
        <w:t xml:space="preserve">duration, response, or switching.</w:t>
      </w:r>
    </w:p>
    <w:bookmarkEnd w:id="25"/>
    <w:bookmarkStart w:id="26" w:name="Xf941dc02d4cb785530251a8122e2a63687dcac8"/>
    <w:p>
      <w:pPr>
        <w:pStyle w:val="Heading3"/>
      </w:pPr>
      <w:r>
        <w:t xml:space="preserve">7. p5, Figure 1 caption:</w:t>
      </w:r>
      <w:r>
        <w:t xml:space="preserve"> </w:t>
      </w:r>
      <w:r>
        <w:t xml:space="preserve">“</w:t>
      </w:r>
      <w:r>
        <w:t xml:space="preserve">The 57.9% annotation describes candidate index orders, not the final cohort.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This means AD prescription happened on same day of MDD prescription right? SAY that if so.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Done, and the figure changed.</w:t>
      </w:r>
      <w:r>
        <w:t xml:space="preserve"> </w:t>
      </w:r>
      <w:r>
        <w:t xml:space="preserve">The reading is right in kind, but 57.9% was a</w:t>
      </w:r>
      <w:r>
        <w:t xml:space="preserve"> </w:t>
      </w:r>
      <w:r>
        <w:t xml:space="preserve">share of upstream candidate orders, which no reader can place. The figure now</w:t>
      </w:r>
      <w:r>
        <w:t xml:space="preserve"> </w:t>
      </w:r>
      <w:r>
        <w:t xml:space="preserve">counts patients in the cohort, read from the feature table: 25,645 of 42,579</w:t>
      </w:r>
      <w:r>
        <w:t xml:space="preserve"> </w:t>
      </w:r>
      <w:r>
        <w:t xml:space="preserve">(60.2%) were prescribed on the day of their first depression diagnosis. The figure</w:t>
      </w:r>
      <w:r>
        <w:t xml:space="preserve"> </w:t>
      </w:r>
      <w:r>
        <w:t xml:space="preserve">also says</w:t>
      </w:r>
      <w:r>
        <w:t xml:space="preserve"> </w:t>
      </w:r>
      <w:r>
        <w:t xml:space="preserve">“</w:t>
      </w:r>
      <w:r>
        <w:t xml:space="preserve">index</w:t>
      </w:r>
      <w:r>
        <w:t xml:space="preserve">”</w:t>
      </w:r>
      <w:r>
        <w:t xml:space="preserve"> </w:t>
      </w:r>
      <w:r>
        <w:t xml:space="preserve">throughout instead of</w:t>
      </w:r>
      <w:r>
        <w:t xml:space="preserve"> </w:t>
      </w:r>
      <w:r>
        <w:t xml:space="preserve">“</w:t>
      </w:r>
      <w:r>
        <w:t xml:space="preserve">anchor</w:t>
      </w:r>
      <w:r>
        <w:t xml:space="preserve">”</w:t>
      </w:r>
      <w:r>
        <w:t xml:space="preserve">, the manuscript’s one word for</w:t>
      </w:r>
      <w:r>
        <w:t xml:space="preserve"> </w:t>
      </w:r>
      <w:r>
        <w:t xml:space="preserve">that date. Supplement M2 drops the 57.9% for the same count. Supplement S7’s</w:t>
      </w:r>
      <w:r>
        <w:t xml:space="preserve"> </w:t>
      </w:r>
      <w:r>
        <w:t xml:space="preserve">27,906 counted diagnosis-to-prescription gaps of 0 or 1 day and called them</w:t>
      </w:r>
      <w:r>
        <w:t xml:space="preserve"> </w:t>
      </w:r>
      <w:r>
        <w:t xml:space="preserve">“</w:t>
      </w:r>
      <w:r>
        <w:t xml:space="preserve">same-day</w:t>
      </w:r>
      <w:r>
        <w:t xml:space="preserve">”</w:t>
      </w:r>
      <w:r>
        <w:t xml:space="preserve">; it now says</w:t>
      </w:r>
      <w:r>
        <w:t xml:space="preserve"> </w:t>
      </w:r>
      <w:r>
        <w:t xml:space="preserve">“</w:t>
      </w:r>
      <w:r>
        <w:t xml:space="preserve">the day of diagnosis or the next day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Figure:</w:t>
      </w:r>
      <w:r>
        <w:t xml:space="preserve"> </w:t>
      </w:r>
      <w:r>
        <w:t xml:space="preserve">“</w:t>
      </w:r>
      <w:r>
        <w:t xml:space="preserve">First documented depression diagnosis: on or before the index. Same day</w:t>
      </w:r>
      <w:r>
        <w:t xml:space="preserve"> </w:t>
      </w:r>
      <w:r>
        <w:t xml:space="preserve">as the index prescription for 25,645 of 42,579 patients (60.2%)</w:t>
      </w:r>
      <w:r>
        <w:t xml:space="preserve">”</w:t>
      </w:r>
    </w:p>
    <w:p>
      <w:pPr>
        <w:pStyle w:val="BlockText"/>
      </w:pPr>
      <w:r>
        <w:t xml:space="preserve">Caption: For 25,645 of the 42,579 patients (60.2%, 95% CI 59.8–60.7), the index</w:t>
      </w:r>
      <w:r>
        <w:t xml:space="preserve"> </w:t>
      </w:r>
      <w:r>
        <w:t xml:space="preserve">prescription was written on the same day as the first depression diagnosis.</w:t>
      </w:r>
    </w:p>
    <w:bookmarkEnd w:id="26"/>
    <w:bookmarkStart w:id="27" w:name="Xcacd644db929c95173f883a38c282e5afab3885"/>
    <w:p>
      <w:pPr>
        <w:pStyle w:val="Heading3"/>
      </w:pPr>
      <w:r>
        <w:t xml:space="preserve">8. p5, Outcome:</w:t>
      </w:r>
      <w:r>
        <w:t xml:space="preserve"> </w:t>
      </w:r>
      <w:r>
        <w:t xml:space="preserve">“</w:t>
      </w:r>
      <w:r>
        <w:t xml:space="preserve">Standardized symptom response was unavailable, and dose and duration adequacy were not established …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Meaning?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Done.</w:t>
      </w:r>
    </w:p>
    <w:p>
      <w:pPr>
        <w:pStyle w:val="BlockText"/>
      </w:pPr>
      <w:r>
        <w:t xml:space="preserve">No symptom rating scale, such as the PHQ-9, was available to show whether a</w:t>
      </w:r>
      <w:r>
        <w:t xml:space="preserve"> </w:t>
      </w:r>
      <w:r>
        <w:t xml:space="preserve">patient improved. We also could not tell whether each counted treatment was</w:t>
      </w:r>
      <w:r>
        <w:t xml:space="preserve"> </w:t>
      </w:r>
      <w:r>
        <w:t xml:space="preserve">given at an adequate dose for long enough.</w:t>
      </w:r>
    </w:p>
    <w:bookmarkEnd w:id="27"/>
    <w:bookmarkStart w:id="28" w:name="X531bb9e49e6a664c000d1d58956886b9007c606"/>
    <w:p>
      <w:pPr>
        <w:pStyle w:val="Heading3"/>
      </w:pPr>
      <w:r>
        <w:t xml:space="preserve">9. p6, top:</w:t>
      </w:r>
      <w:r>
        <w:t xml:space="preserve"> </w:t>
      </w:r>
      <w:r>
        <w:t xml:space="preserve">“</w:t>
      </w:r>
      <w:r>
        <w:t xml:space="preserve">Access to depression treatment differs …</w:t>
      </w:r>
      <w:r>
        <w:t xml:space="preserve"> </w:t>
      </w:r>
      <w:r>
        <w:t xml:space="preserve">‘</w:t>
      </w:r>
      <w:r>
        <w:t xml:space="preserve">TRD proxy</w:t>
      </w:r>
      <w:r>
        <w:t xml:space="preserve">’</w:t>
      </w:r>
      <w:r>
        <w:t xml:space="preserve"> </w:t>
      </w:r>
      <w:r>
        <w:t xml:space="preserve">…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 don’t understand this blurb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Done.</w:t>
      </w:r>
      <w:r>
        <w:t xml:space="preserve"> </w:t>
      </w:r>
      <w:r>
        <w:t xml:space="preserve">The mechanism is now spelled out, and the duplicate section pointer went.</w:t>
      </w:r>
    </w:p>
    <w:p>
      <w:pPr>
        <w:pStyle w:val="BlockText"/>
      </w:pPr>
      <w:r>
        <w:t xml:space="preserve">Switching also depends on access to care, and in the United States access to</w:t>
      </w:r>
      <w:r>
        <w:t xml:space="preserve"> </w:t>
      </w:r>
      <w:r>
        <w:t xml:space="preserve">depression treatment differs by race and ethnicity. A patient with poor access</w:t>
      </w:r>
      <w:r>
        <w:t xml:space="preserve"> </w:t>
      </w:r>
      <w:r>
        <w:t xml:space="preserve">has fewer chances to switch, so is less likely to be labeled positive, whatever</w:t>
      </w:r>
      <w:r>
        <w:t xml:space="preserve"> </w:t>
      </w:r>
      <w:r>
        <w:t xml:space="preserve">their illness. The label was not checked against charts or symptom scores</w:t>
      </w:r>
      <w:r>
        <w:t xml:space="preserve"> </w:t>
      </w:r>
      <w:r>
        <w:t xml:space="preserve">(Multimedia Appendix 1, section M3). We therefore call the outcome a</w:t>
      </w:r>
      <w:r>
        <w:t xml:space="preserve"> </w:t>
      </w:r>
      <w:r>
        <w:t xml:space="preserve">“</w:t>
      </w:r>
      <w:r>
        <w:t xml:space="preserve">TRD proxy</w:t>
      </w:r>
      <w:r>
        <w:t xml:space="preserve">”</w:t>
      </w:r>
      <w:r>
        <w:t xml:space="preserve"> </w:t>
      </w:r>
      <w:r>
        <w:t xml:space="preserve">rather than TRD.</w:t>
      </w:r>
    </w:p>
    <w:bookmarkEnd w:id="28"/>
    <w:bookmarkStart w:id="29" w:name="Xf3289002a70d671411d0a757dc13b40bfb2049e"/>
    <w:p>
      <w:pPr>
        <w:pStyle w:val="Heading3"/>
      </w:pPr>
      <w:r>
        <w:t xml:space="preserve">10. p6, Representations:</w:t>
      </w:r>
      <w:r>
        <w:t xml:space="preserve"> </w:t>
      </w:r>
      <w:r>
        <w:t xml:space="preserve">“</w:t>
      </w:r>
      <w:r>
        <w:t xml:space="preserve">this duration rule did not establish adequate dose.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Just time?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Done.</w:t>
      </w:r>
      <w:r>
        <w:t xml:space="preserve"> </w:t>
      </w:r>
      <w:r>
        <w:t xml:space="preserve">Yes, time only.</w:t>
      </w:r>
    </w:p>
    <w:p>
      <w:pPr>
        <w:pStyle w:val="BlockText"/>
      </w:pPr>
      <w:r>
        <w:t xml:space="preserve">A prior antidepressant trial was counted when the patient was on the drug for at</w:t>
      </w:r>
      <w:r>
        <w:t xml:space="preserve"> </w:t>
      </w:r>
      <w:r>
        <w:t xml:space="preserve">least 42 continuous days. The rule counts time on the drug only, not dose.</w:t>
      </w:r>
    </w:p>
    <w:bookmarkEnd w:id="29"/>
    <w:bookmarkStart w:id="30" w:name="X4fe8dcb217f73875a8729127b50c9e3e17a0d9c"/>
    <w:p>
      <w:pPr>
        <w:pStyle w:val="Heading3"/>
      </w:pPr>
      <w:r>
        <w:t xml:space="preserve">11. p7, Model Development:</w:t>
      </w:r>
      <w:r>
        <w:t xml:space="preserve"> </w:t>
      </w:r>
      <w:r>
        <w:t xml:space="preserve">“</w:t>
      </w:r>
      <w:r>
        <w:t xml:space="preserve">Tuning grids were identical across representations …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We didn’t necessarily pick the same hyperparameters right?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Done.</w:t>
      </w:r>
      <w:r>
        <w:t xml:space="preserve"> </w:t>
      </w:r>
      <w:r>
        <w:t xml:space="preserve">His reading is correct: one grid, searched separately per</w:t>
      </w:r>
      <w:r>
        <w:t xml:space="preserve"> </w:t>
      </w:r>
      <w:r>
        <w:t xml:space="preserve">representation. TRIPOD item 12c says the same.</w:t>
      </w:r>
    </w:p>
    <w:p>
      <w:pPr>
        <w:pStyle w:val="BlockText"/>
      </w:pPr>
      <w:r>
        <w:t xml:space="preserve">Each classifier searched the same hyperparameter grid for both representations,</w:t>
      </w:r>
      <w:r>
        <w:t xml:space="preserve"> </w:t>
      </w:r>
      <w:r>
        <w:t xml:space="preserve">and the best setting was chosen separately for each, so the selected</w:t>
      </w:r>
      <w:r>
        <w:t xml:space="preserve"> </w:t>
      </w:r>
      <w:r>
        <w:t xml:space="preserve">hyperparameters could differ (Multimedia Appendix 1, sections M7–M9).</w:t>
      </w:r>
    </w:p>
    <w:bookmarkEnd w:id="30"/>
    <w:bookmarkStart w:id="31" w:name="Xca1da1c16b98e7215c0f4308fa30821356b03f5"/>
    <w:p>
      <w:pPr>
        <w:pStyle w:val="Heading3"/>
      </w:pPr>
      <w:r>
        <w:t xml:space="preserve">12. p7, calibration:</w:t>
      </w:r>
      <w:r>
        <w:t xml:space="preserve"> </w:t>
      </w:r>
      <w:r>
        <w:t xml:space="preserve">“</w:t>
      </w:r>
      <w:r>
        <w:t xml:space="preserve">The supplementary calibration-curve summaries use slopes … not interchangeable.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What?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Done, by cutting both sentences.</w:t>
      </w:r>
      <w:r>
        <w:t xml:space="preserve"> </w:t>
      </w:r>
      <w:r>
        <w:t xml:space="preserve">The distinction between binned and</w:t>
      </w:r>
      <w:r>
        <w:t xml:space="preserve"> </w:t>
      </w:r>
      <w:r>
        <w:t xml:space="preserve">individual-level slopes stays where a reader of those numbers meets it,</w:t>
      </w:r>
      <w:r>
        <w:t xml:space="preserve"> </w:t>
      </w:r>
      <w:r>
        <w:t xml:space="preserve">Supplement M13, S3 and S9.</w:t>
      </w:r>
    </w:p>
    <w:p>
      <w:pPr>
        <w:pStyle w:val="BlockText"/>
      </w:pPr>
      <w:r>
        <w:t xml:space="preserve">We assessed ROC AUC, area under the precision–recall curve (AUPRC), Brier score,</w:t>
      </w:r>
      <w:r>
        <w:t xml:space="preserve"> </w:t>
      </w:r>
      <w:r>
        <w:t xml:space="preserve">and calibration. All calibration estimates concern this enriched cohort.</w:t>
      </w:r>
    </w:p>
    <w:bookmarkEnd w:id="31"/>
    <w:bookmarkStart w:id="32" w:name="X5919c1f42f3e2884f49af4fa5c520d2238c3928"/>
    <w:p>
      <w:pPr>
        <w:pStyle w:val="Heading3"/>
      </w:pPr>
      <w:r>
        <w:t xml:space="preserve">13. p7,</w:t>
      </w:r>
      <w:r>
        <w:t xml:space="preserve"> </w:t>
      </w:r>
      <w:r>
        <w:t xml:space="preserve">“</w:t>
      </w:r>
      <w:r>
        <w:t xml:space="preserve">Nonparametric bootstrap resampling of test patients provided 95% CIs.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what does this mean?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Done.</w:t>
      </w:r>
    </w:p>
    <w:p>
      <w:pPr>
        <w:pStyle w:val="BlockText"/>
      </w:pPr>
      <w:r>
        <w:t xml:space="preserve">95% CIs came from resampling the test patients with replacement (the bootstrap).</w:t>
      </w:r>
    </w:p>
    <w:bookmarkEnd w:id="32"/>
    <w:bookmarkStart w:id="33" w:name="X3291fd1557811a705d50bbc0eb5bd4942bd1177"/>
    <w:p>
      <w:pPr>
        <w:pStyle w:val="Heading3"/>
      </w:pPr>
      <w:r>
        <w:t xml:space="preserve">14. p7, comparisons passage, through the Youden J sentence —</w:t>
      </w:r>
      <w:r>
        <w:t xml:space="preserve"> </w:t>
      </w:r>
      <w:r>
        <w:t xml:space="preserve">“</w:t>
      </w:r>
      <w:r>
        <w:t xml:space="preserve">I don’t understand this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Done.</w:t>
      </w:r>
      <w:r>
        <w:t xml:space="preserve"> </w:t>
      </w:r>
      <w:r>
        <w:t xml:space="preserve">Rewritten as the 2 comparisons we made, in order, with the reason the</w:t>
      </w:r>
      <w:r>
        <w:t xml:space="preserve"> </w:t>
      </w:r>
      <w:r>
        <w:t xml:space="preserve">second is post hoc and what an interval through zero means.</w:t>
      </w:r>
    </w:p>
    <w:p>
      <w:pPr>
        <w:pStyle w:val="BlockText"/>
      </w:pPr>
      <w:r>
        <w:t xml:space="preserve">A difference between 2 models used the same resampled patients for both, which</w:t>
      </w:r>
      <w:r>
        <w:t xml:space="preserve"> </w:t>
      </w:r>
      <w:r>
        <w:t xml:space="preserve">is called a paired bootstrap. We compared the representations in 2 ways. First,</w:t>
      </w:r>
      <w:r>
        <w:t xml:space="preserve"> </w:t>
      </w:r>
      <w:r>
        <w:t xml:space="preserve">each classifier on embeddings was compared with the same classifier on feature</w:t>
      </w:r>
      <w:r>
        <w:t xml:space="preserve"> </w:t>
      </w:r>
      <w:r>
        <w:t xml:space="preserve">vectors. Second, the best embedded model was compared with the best</w:t>
      </w:r>
      <w:r>
        <w:t xml:space="preserve"> </w:t>
      </w:r>
      <w:r>
        <w:t xml:space="preserve">feature-vector model. Those 2 models were picked after seeing their test</w:t>
      </w:r>
      <w:r>
        <w:t xml:space="preserve"> </w:t>
      </w:r>
      <w:r>
        <w:t xml:space="preserve">results, so the second comparison was not planned in advance. We set no margin</w:t>
      </w:r>
      <w:r>
        <w:t xml:space="preserve"> </w:t>
      </w:r>
      <w:r>
        <w:t xml:space="preserve">for calling 2 models equivalent, so an interval that includes zero means no</w:t>
      </w:r>
      <w:r>
        <w:t xml:space="preserve"> </w:t>
      </w:r>
      <w:r>
        <w:t xml:space="preserve">difference was found, not that the models are the same. Sensitivity and</w:t>
      </w:r>
      <w:r>
        <w:t xml:space="preserve"> </w:t>
      </w:r>
      <w:r>
        <w:t xml:space="preserve">specificity at the threshold that maximized their sum in the test patients are</w:t>
      </w:r>
      <w:r>
        <w:t xml:space="preserve"> </w:t>
      </w:r>
      <w:r>
        <w:t xml:space="preserve">given in Multimedia Appendix 1, section S12, as descriptions only.</w:t>
      </w:r>
    </w:p>
    <w:bookmarkEnd w:id="33"/>
    <w:bookmarkStart w:id="34" w:name="typed-feedback"/>
    <w:p>
      <w:pPr>
        <w:pStyle w:val="Heading3"/>
      </w:pPr>
      <w:r>
        <w:t xml:space="preserve">15. Typed feedback</w:t>
      </w:r>
    </w:p>
    <w:p>
      <w:pPr>
        <w:pStyle w:val="FirstParagraph"/>
      </w:pPr>
      <w:r>
        <w:rPr>
          <w:bCs/>
          <w:b/>
        </w:rPr>
        <w:t xml:space="preserve">No action needed.</w:t>
      </w:r>
      <w:r>
        <w:t xml:space="preserve"> </w:t>
      </w:r>
      <w:r>
        <w:t xml:space="preserve">None is newer than 2026-09-28.</w:t>
      </w:r>
    </w:p>
    <w:bookmarkEnd w:id="34"/>
    <w:bookmarkStart w:id="35" w:name="pages-822"/>
    <w:p>
      <w:pPr>
        <w:pStyle w:val="Heading3"/>
      </w:pPr>
      <w:r>
        <w:t xml:space="preserve">16. Pages 8–22</w:t>
      </w:r>
    </w:p>
    <w:p>
      <w:pPr>
        <w:pStyle w:val="FirstParagraph"/>
      </w:pPr>
      <w:r>
        <w:rPr>
          <w:bCs/>
          <w:b/>
        </w:rPr>
        <w:t xml:space="preserve">No action needed.</w:t>
      </w:r>
      <w:r>
        <w:t xml:space="preserve"> </w:t>
      </w:r>
      <w:r>
        <w:t xml:space="preserve">No marks. Every section with a number that moved is</w:t>
      </w:r>
      <w:r>
        <w:t xml:space="preserve"> </w:t>
      </w:r>
      <w:r>
        <w:t xml:space="preserve">listed below.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he-neighbour-sweep-changes"/>
    <w:p>
      <w:pPr>
        <w:pStyle w:val="Heading2"/>
      </w:pPr>
      <w:r>
        <w:t xml:space="preserve">The neighbour-sweep changes</w:t>
      </w:r>
    </w:p>
    <w:p>
      <w:pPr>
        <w:pStyle w:val="FirstParagraph"/>
      </w:pPr>
      <w:r>
        <w:t xml:space="preserve">Every retrieval result is now read at each arm’s own best k, chosen on the test</w:t>
      </w:r>
      <w:r>
        <w:t xml:space="preserve"> </w:t>
      </w:r>
      <w:r>
        <w:t xml:space="preserve">patients and called optimistic wherever it is quoted. Farthest retrieval stays at</w:t>
      </w:r>
      <w:r>
        <w:t xml:space="preserve"> </w:t>
      </w:r>
      <w:r>
        <w:t xml:space="preserve">k = 50: it has no best k of its own, because adding neighbours only moves it</w:t>
      </w:r>
      <w:r>
        <w:t xml:space="preserve"> </w:t>
      </w:r>
      <w:r>
        <w:t xml:space="preserve">toward the nearest arms’ all-patients value.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c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p>
            <w:pPr>
              <w:pStyle w:val="Compact"/>
              <w:jc w:val="right"/>
            </w:pPr>
            <w:r>
              <w:t xml:space="preserve">Best k</w:t>
            </w:r>
          </w:p>
        </w:tc>
        <w:tc>
          <w:p>
            <w:pPr>
              <w:pStyle w:val="Compact"/>
              <w:jc w:val="left"/>
            </w:pPr>
            <w:r>
              <w:t xml:space="preserve">ROC AUC (95% CI)</w:t>
            </w:r>
          </w:p>
        </w:tc>
        <w:tc>
          <w:p>
            <w:pPr>
              <w:pStyle w:val="Compact"/>
              <w:jc w:val="left"/>
            </w:pPr>
            <w:r>
              <w:t xml:space="preserve">AUPRC (95% CI)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Importance-weighted cosine, α = 1</w:t>
            </w:r>
          </w:p>
        </w:tc>
        <w:tc>
          <w:p>
            <w:pPr>
              <w:pStyle w:val="Compact"/>
              <w:jc w:val="right"/>
            </w:pPr>
            <w:r>
              <w:t xml:space="preserve">295</w:t>
            </w:r>
          </w:p>
        </w:tc>
        <w:tc>
          <w:p>
            <w:pPr>
              <w:pStyle w:val="Compact"/>
              <w:jc w:val="left"/>
            </w:pPr>
            <w:r>
              <w:t xml:space="preserve">0.625 (0.610–0.641)</w:t>
            </w:r>
          </w:p>
        </w:tc>
        <w:tc>
          <w:p>
            <w:pPr>
              <w:pStyle w:val="Compact"/>
              <w:jc w:val="left"/>
            </w:pPr>
            <w:r>
              <w:t xml:space="preserve">0.272 (0.251–0.294)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Plain cosine, α = 1</w:t>
            </w:r>
          </w:p>
        </w:tc>
        <w:tc>
          <w:p>
            <w:pPr>
              <w:pStyle w:val="Compact"/>
              <w:jc w:val="right"/>
            </w:pPr>
            <w:r>
              <w:t xml:space="preserve">757</w:t>
            </w:r>
          </w:p>
        </w:tc>
        <w:tc>
          <w:p>
            <w:pPr>
              <w:pStyle w:val="Compact"/>
              <w:jc w:val="left"/>
            </w:pPr>
            <w:r>
              <w:t xml:space="preserve">0.618 (0.602–0.634)</w:t>
            </w:r>
          </w:p>
        </w:tc>
        <w:tc>
          <w:p>
            <w:pPr>
              <w:pStyle w:val="Compact"/>
              <w:jc w:val="left"/>
            </w:pPr>
            <w:r>
              <w:t xml:space="preserve">0.264 (0.244–0.286)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Random, uniform weights, 1,000 draws</w:t>
            </w:r>
          </w:p>
        </w:tc>
        <w:tc>
          <w:p>
            <w:pPr>
              <w:pStyle w:val="Compact"/>
              <w:jc w:val="right"/>
            </w:pPr>
            <w:r>
              <w:t xml:space="preserve">32,720</w:t>
            </w:r>
          </w:p>
        </w:tc>
        <w:tc>
          <w:p>
            <w:pPr>
              <w:pStyle w:val="Compact"/>
              <w:jc w:val="left"/>
            </w:pPr>
            <w:r>
              <w:t xml:space="preserve">0.500 (0.484–0.515)*</w:t>
            </w:r>
          </w:p>
        </w:tc>
        <w:tc>
          <w:p>
            <w:pPr>
              <w:pStyle w:val="Compact"/>
              <w:jc w:val="left"/>
            </w:pPr>
            <w:r>
              <w:t xml:space="preserve">0.176 (0.165–0.188)</w:t>
            </w:r>
          </w:p>
        </w:tc>
      </w:tr>
    </w:tbl>
    <w:p>
      <w:pPr>
        <w:pStyle w:val="BodyText"/>
      </w:pPr>
      <w:r>
        <w:t xml:space="preserve">* 2.5th–97.5th percentile across draws.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Abstract and cover letter.</w:t>
      </w:r>
      <w:r>
        <w:t xml:space="preserve"> </w:t>
      </w:r>
      <w:r>
        <w:t xml:space="preserve">The best retrieval value is now quoted beside</w:t>
      </w:r>
      <w:r>
        <w:t xml:space="preserve"> </w:t>
      </w:r>
      <w:r>
        <w:t xml:space="preserve">random, 0.500 (0.484–0.515), and says k was chosen on the test patients.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Methods,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Supporting Analyses</w:t>
      </w:r>
      <w:r>
        <w:rPr>
          <w:bCs/>
          <w:b/>
        </w:rPr>
        <w:t xml:space="preserve">.</w:t>
      </w:r>
      <w:r>
        <w:t xml:space="preserve"> </w:t>
      </w:r>
      <w:r>
        <w:t xml:space="preserve">Best k is defined and called optimistic. The</w:t>
      </w:r>
      <w:r>
        <w:t xml:space="preserve"> </w:t>
      </w:r>
      <w:r>
        <w:t xml:space="preserve">random floor and its band are described.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Results.</w:t>
      </w:r>
      <w:r>
        <w:t xml:space="preserve"> </w:t>
      </w:r>
      <w:r>
        <w:t xml:space="preserve">The plain-cosine k = 50 value (0.594) is gone. Each arm’s best k is</w:t>
      </w:r>
      <w:r>
        <w:t xml:space="preserve"> </w:t>
      </w:r>
      <w:r>
        <w:t xml:space="preserve">named, and both cosine arms are set against random: +0.125 (0.103–0.147) and</w:t>
      </w:r>
      <w:r>
        <w:t xml:space="preserve"> </w:t>
      </w:r>
      <w:r>
        <w:t xml:space="preserve">+0.118 (0.096–0.140).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Figure 4.</w:t>
      </w:r>
      <w:r>
        <w:t xml:space="preserve"> </w:t>
      </w:r>
      <w:r>
        <w:t xml:space="preserve">No k = 50 line; the random band is drawn. The caption says the</w:t>
      </w:r>
      <w:r>
        <w:t xml:space="preserve"> </w:t>
      </w:r>
      <w:r>
        <w:t xml:space="preserve">best-k values are optimistic and the random best k is noise.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Discussion.</w:t>
      </w:r>
      <w:r>
        <w:t xml:space="preserve"> </w:t>
      </w:r>
      <w:r>
        <w:t xml:space="preserve">Random neighbours give chance discrimination at every size.</w:t>
      </w:r>
      <w:r>
        <w:t xml:space="preserve"> </w:t>
      </w:r>
      <w:r>
        <w:t xml:space="preserve">Limitations gains the optimism of a test-selected 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Supplement M10 and M12.</w:t>
      </w:r>
      <w:r>
        <w:t xml:space="preserve"> </w:t>
      </w:r>
      <w:r>
        <w:t xml:space="preserve">Best k values named; farthest’s fixed k explained;</w:t>
      </w:r>
      <w:r>
        <w:t xml:space="preserve"> </w:t>
      </w:r>
      <w:r>
        <w:t xml:space="preserve">the other encoders’ k = 50 retrieval is no longer described.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S2.</w:t>
      </w:r>
      <w:r>
        <w:t xml:space="preserve"> </w:t>
      </w:r>
      <w:r>
        <w:t xml:space="preserve">Table S1 holds the 3 retrieval arms as rows beside the 8 classifiers, every</w:t>
      </w:r>
      <w:r>
        <w:t xml:space="preserve"> </w:t>
      </w:r>
      <w:r>
        <w:t xml:space="preserve">row with a bootstrap 95% CI. Figure S4 gains them as panels C–E.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S3.</w:t>
      </w:r>
      <w:r>
        <w:t xml:space="preserve"> </w:t>
      </w:r>
      <w:r>
        <w:t xml:space="preserve">Tables S3 and S4 hold the 3 retrieval arms as rows beside the classifiers,</w:t>
      </w:r>
      <w:r>
        <w:t xml:space="preserve"> </w:t>
      </w:r>
      <w:r>
        <w:t xml:space="preserve">every row with a bootstrap 95% CI. Figure S5 gains them as panels C–E. The random</w:t>
      </w:r>
      <w:r>
        <w:t xml:space="preserve"> </w:t>
      </w:r>
      <w:r>
        <w:t xml:space="preserve">arm’s binned slope is not estimable: its risks span 0.173 to 0.176.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S6, Table S7.</w:t>
      </w:r>
      <w:r>
        <w:t xml:space="preserve"> </w:t>
      </w:r>
      <w:r>
        <w:t xml:space="preserve">The 4 k = 50 nearest and random rows are gone.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S7, Table S8.</w:t>
      </w:r>
      <w:r>
        <w:t xml:space="preserve"> </w:t>
      </w:r>
      <w:r>
        <w:t xml:space="preserve">Re-scored at best k for all 3 arms, with an interval in every</w:t>
      </w:r>
      <w:r>
        <w:t xml:space="preserve"> </w:t>
      </w:r>
      <w:r>
        <w:t xml:space="preserve">quintile (</w:t>
      </w:r>
      <w:r>
        <w:rPr>
          <w:rStyle w:val="VerbatimChar"/>
        </w:rPr>
        <w:t xml:space="preserve">scripts/pipeline/review/history_quintiles.py</w:t>
      </w:r>
      <w:r>
        <w:t xml:space="preserve">). Importance-weighted</w:t>
      </w:r>
      <w:r>
        <w:t xml:space="preserve"> </w:t>
      </w:r>
      <w:r>
        <w:t xml:space="preserve">0.600–0.633, plain 0.598–0.626, no trend.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S9 subgroups.</w:t>
      </w:r>
      <w:r>
        <w:t xml:space="preserve"> </w:t>
      </w:r>
      <w:r>
        <w:t xml:space="preserve">Re-run with plain cosine at 757 and uniform random at 32,720</w:t>
      </w:r>
      <w:r>
        <w:t xml:space="preserve"> </w:t>
      </w:r>
      <w:r>
        <w:t xml:space="preserve">in place of the pipeline’s k = 50 arms. 240 contrasts, 58 nominal, 23 survive</w:t>
      </w:r>
      <w:r>
        <w:t xml:space="preserve"> </w:t>
      </w:r>
      <w:r>
        <w:t xml:space="preserve">(was 24). The one that left is plain cosine in severe coding (+0.087 at k = 50;</w:t>
      </w:r>
      <w:r>
        <w:t xml:space="preserve"> </w:t>
      </w:r>
      <w:r>
        <w:t xml:space="preserve">+0.053, adjusted P = .26, at 757). The White-minus-non-White range is 0.005–0.046</w:t>
      </w:r>
      <w:r>
        <w:t xml:space="preserve"> </w:t>
      </w:r>
      <w:r>
        <w:t xml:space="preserve">(minimum adjusted P = .15). Tables S10–S11 are unchanged, because their</w:t>
      </w:r>
      <w:r>
        <w:t xml:space="preserve"> </w:t>
      </w:r>
      <w:r>
        <w:t xml:space="preserve">retrieval row was already importance-weighted at 295.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TRIPOD 12c, 12e, 14, 23a</w:t>
      </w:r>
      <w:r>
        <w:t xml:space="preserve"> </w:t>
      </w:r>
      <w:r>
        <w:t xml:space="preserve">re-pointed.</w:t>
      </w:r>
    </w:p>
    <w:bookmarkEnd w:id="37"/>
    <w:bookmarkStart w:id="38" w:name="X2b937d663f1ba3e446fe0e2594452405e119f1c"/>
    <w:p>
      <w:pPr>
        <w:pStyle w:val="Heading2"/>
      </w:pPr>
      <w:r>
        <w:t xml:space="preserve">The paper reviewer’s findings on this round</w:t>
      </w:r>
    </w:p>
    <w:p>
      <w:pPr>
        <w:pStyle w:val="FirstParagraph"/>
      </w:pPr>
      <w:r>
        <w:t xml:space="preserve">Ten findings, all acted on. The new numbers come from</w:t>
      </w:r>
      <w:r>
        <w:t xml:space="preserve"> </w:t>
      </w:r>
      <w:r>
        <w:rPr>
          <w:rStyle w:val="VerbatimChar"/>
        </w:rPr>
        <w:t xml:space="preserve">scripts/pipeline/review/metric_intervals.py</w:t>
      </w:r>
      <w:r>
        <w:t xml:space="preserve"> </w:t>
      </w:r>
      <w:r>
        <w:t xml:space="preserve">(results/review/metric_intervals/) and</w:t>
      </w:r>
      <w:r>
        <w:t xml:space="preserve"> </w:t>
      </w:r>
      <w:r>
        <w:t xml:space="preserve">the re-run subgroup analysis, whose AUC intervals and 240 contrasts are unchanged.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c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Point 2’s map and rationale still quote k = 50 retrieval and</w:t>
            </w:r>
            <w:r>
              <w:t xml:space="preserve"> </w:t>
            </w:r>
            <w:r>
              <w:t xml:space="preserve">“</w:t>
            </w:r>
            <w:r>
              <w:t xml:space="preserve">every encoder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Done.</w:t>
            </w:r>
            <w:r>
              <w:t xml:space="preserve"> </w:t>
            </w:r>
            <w:r>
              <w:t xml:space="preserve">Map claims c.6–c.8 restated at best k for the primary encoder; the ladder gate re-run passes (2 points, 20 claims, no orphans). The paper README and</w:t>
            </w:r>
            <w:r>
              <w:t xml:space="preserve"> </w:t>
            </w:r>
            <w:r>
              <w:rPr>
                <w:rStyle w:val="VerbatimChar"/>
              </w:rPr>
              <w:t xml:space="preserve">two_points_rationale.md</w:t>
            </w:r>
            <w:r>
              <w:t xml:space="preserve"> </w:t>
            </w:r>
            <w:r>
              <w:t xml:space="preserve">drop</w:t>
            </w:r>
            <w:r>
              <w:t xml:space="preserve"> </w:t>
            </w:r>
            <w:r>
              <w:t xml:space="preserve">“</w:t>
            </w:r>
            <w:r>
              <w:t xml:space="preserve">every encoder</w:t>
            </w:r>
            <w:r>
              <w:t xml:space="preserve">”</w:t>
            </w:r>
            <w:r>
              <w:t xml:space="preserve">, and the rationale says 23 survive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Both curves plateau from about 300</w:t>
            </w:r>
            <w:r>
              <w:t xml:space="preserve">”</w:t>
            </w:r>
            <w:r>
              <w:t xml:space="preserve"> </w:t>
            </w:r>
            <w:r>
              <w:t xml:space="preserve">is false for plain cosine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Done.</w:t>
            </w:r>
            <w:r>
              <w:t xml:space="preserve"> </w:t>
            </w:r>
            <w:r>
              <w:t xml:space="preserve">Results and S6: importance-weighted stays inside its best-k interval from k = 261; plain cosine peaks at 757 and drifts down to 0.605 (95% CI 0.589–0.620) at k = 16,988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Figure S10D still says</w:t>
            </w:r>
            <w:r>
              <w:t xml:space="preserve"> </w:t>
            </w:r>
            <w:r>
              <w:t xml:space="preserve">“</w:t>
            </w:r>
            <w:r>
              <w:t xml:space="preserve">same-day</w:t>
            </w:r>
            <w:r>
              <w:t xml:space="preserve">”</w:t>
            </w:r>
            <w:r>
              <w:t xml:space="preserve"> </w:t>
            </w:r>
            <w:r>
              <w:t xml:space="preserve">and has no intervals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Done, figure redrawn.</w:t>
            </w:r>
            <w:r>
              <w:t xml:space="preserve"> </w:t>
            </w:r>
            <w:r>
              <w:t xml:space="preserve">“</w:t>
            </w:r>
            <w:r>
              <w:t xml:space="preserve">Within 1 day of diagnosis</w:t>
            </w:r>
            <w:r>
              <w:t xml:space="preserve">”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t xml:space="preserve">“</w:t>
            </w:r>
            <w:r>
              <w:t xml:space="preserve">2 or more days after</w:t>
            </w:r>
            <w:r>
              <w:t xml:space="preserve">”</w:t>
            </w:r>
            <w:r>
              <w:t xml:space="preserve">, Wilson 95% CIs on both bars and on the cohort line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Many numbers carry no interval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 for every item named.</w:t>
            </w:r>
            <w:r>
              <w:t xml:space="preserve"> </w:t>
            </w:r>
            <w:r>
              <w:t xml:space="preserve">Table 2 AUPRC and Brier; Table 3 paired CIs; the abstract’s ranges as endpoints with CIs; the 0.97, 0.98 and 0.79 slopes; Figure 1’s 60.2%; Tables S1–S4; Tables S10–S11 Brier, slope and mean risk difference; S7’s ρ values and 18.4% against 15.9%; S6’s 0.625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Two different</w:t>
            </w:r>
            <w:r>
              <w:t xml:space="preserve"> </w:t>
            </w:r>
            <w:r>
              <w:t xml:space="preserve">“</w:t>
            </w:r>
            <w:r>
              <w:t xml:space="preserve">best retrieval 0.625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Done.</w:t>
            </w:r>
            <w:r>
              <w:t xml:space="preserve"> </w:t>
            </w:r>
            <w:r>
              <w:t xml:space="preserve">The abstract and cover letter name importance-weighted at 295 neighbors, 0.625 (0.610–0.641). The comparison with the classifiers names α = 2, k = 1,090, 0.625 (0.610–0.640)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t xml:space="preserve">The random arm’s interval reads as a 95% CI in the abstract and cover letter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Done.</w:t>
            </w:r>
            <w:r>
              <w:t xml:space="preserve"> </w:t>
            </w:r>
            <w:r>
              <w:t xml:space="preserve">Both now say</w:t>
            </w:r>
            <w:r>
              <w:t xml:space="preserve"> </w:t>
            </w:r>
            <w:r>
              <w:t xml:space="preserve">“</w:t>
            </w:r>
            <w:r>
              <w:t xml:space="preserve">2.5th–97.5th percentile across draws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R7</w:t>
            </w:r>
          </w:p>
        </w:tc>
        <w:tc>
          <w:p>
            <w:pPr>
              <w:pStyle w:val="Compact"/>
              <w:jc w:val="left"/>
            </w:pPr>
            <w:r>
              <w:t xml:space="preserve">Random WCE point lies outside its interval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Done, disclosed.</w:t>
            </w:r>
            <w:r>
              <w:t xml:space="preserve"> </w:t>
            </w:r>
            <w:r>
              <w:t xml:space="preserve">Table S3 prints 0.00001 (0.0001–0.009) with a note: the risks sit at the outcome rate, so the full-sample error is near zero and every resample adds error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R8</w:t>
            </w:r>
          </w:p>
        </w:tc>
        <w:tc>
          <w:p>
            <w:pPr>
              <w:pStyle w:val="Compact"/>
              <w:jc w:val="left"/>
            </w:pPr>
            <w:r>
              <w:t xml:space="preserve">Retrieval rows sit in untitled tables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Done.</w:t>
            </w:r>
            <w:r>
              <w:t xml:space="preserve"> </w:t>
            </w:r>
            <w:r>
              <w:t xml:space="preserve">They are rows inside Tables S1, S3 and S4; TRIPOD 12e and 23a point at those tables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R9</w:t>
            </w:r>
          </w:p>
        </w:tc>
        <w:tc>
          <w:p>
            <w:pPr>
              <w:pStyle w:val="Compact"/>
              <w:jc w:val="left"/>
            </w:pPr>
            <w:r>
              <w:t xml:space="preserve">HANDOFF’s Next section is stale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Done.</w:t>
            </w:r>
            <w:r>
              <w:t xml:space="preserve"> </w:t>
            </w:r>
            <w:r>
              <w:t xml:space="preserve">It names the next teaching step, not a job that has run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R10</w:t>
            </w:r>
          </w:p>
        </w:tc>
        <w:tc>
          <w:p>
            <w:pPr>
              <w:pStyle w:val="Compact"/>
              <w:jc w:val="left"/>
            </w:pPr>
            <w:r>
              <w:t xml:space="preserve">Stray dot in Figure 1; no interval on its 60.2%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Done, figure redrawn.</w:t>
            </w:r>
            <w:r>
              <w:t xml:space="preserve"> </w:t>
            </w:r>
            <w:r>
              <w:t xml:space="preserve">The leader that drew the dot is gone; the annotation carries 95% CI 59.8–60.7</w:t>
            </w:r>
          </w:p>
        </w:tc>
      </w:tr>
    </w:tbl>
    <w:p>
      <w:pPr>
        <w:pStyle w:val="BodyText"/>
      </w:pPr>
      <w:r>
        <w:t xml:space="preserve">Not covered by any finding, and still without an interval: the S12 Youden-J</w:t>
      </w:r>
      <w:r>
        <w:t xml:space="preserve"> </w:t>
      </w:r>
      <w:r>
        <w:t xml:space="preserve">operating points (sensitivity, specificity, counts) and the ΔROC AUC ranges in</w:t>
      </w:r>
      <w:r>
        <w:t xml:space="preserve"> </w:t>
      </w:r>
      <w:r>
        <w:t xml:space="preserve">Table S12, whose individual contrasts do carry CIs in the results tree.</w:t>
      </w:r>
    </w:p>
    <w:bookmarkEnd w:id="38"/>
    <w:bookmarkStart w:id="39" w:name="for-the-senior-author"/>
    <w:p>
      <w:pPr>
        <w:pStyle w:val="Heading2"/>
      </w:pPr>
      <w:r>
        <w:t xml:space="preserve">For the senior author</w:t>
      </w:r>
    </w:p>
    <w:p>
      <w:pPr>
        <w:numPr>
          <w:ilvl w:val="0"/>
          <w:numId w:val="1002"/>
        </w:numPr>
        <w:pStyle w:val="Compact"/>
      </w:pPr>
      <w:r>
        <w:t xml:space="preserve">Should the corresponding author move to him (item 1)?</w:t>
      </w:r>
    </w:p>
    <w:p>
      <w:pPr>
        <w:numPr>
          <w:ilvl w:val="0"/>
          <w:numId w:val="1002"/>
        </w:numPr>
        <w:pStyle w:val="Compact"/>
      </w:pPr>
      <w:r>
        <w:t xml:space="preserve">Items 2–14 rewrite his sentences. Each new wording is above, so any one can be</w:t>
      </w:r>
      <w:r>
        <w:t xml:space="preserve"> </w:t>
      </w:r>
      <w:r>
        <w:t xml:space="preserve">reverted alone.</w:t>
      </w:r>
    </w:p>
    <w:bookmarkEnd w:id="39"/>
    <w:bookmarkEnd w:id="4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2026-09-30T04:35:53Z</dcterms:created>
  <dcterms:modified xsi:type="dcterms:W3CDTF">2026-09-30T04:35:53Z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