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hy-the-paper-makes-two-points"/>
    <w:p>
      <w:pPr>
        <w:pStyle w:val="Heading1"/>
      </w:pPr>
      <w:r>
        <w:t xml:space="preserve">Why the paper makes two points</w:t>
      </w:r>
    </w:p>
    <w:p>
      <w:pPr>
        <w:pStyle w:val="FirstParagraph"/>
      </w:pPr>
      <w:r>
        <w:rPr>
          <w:bCs/>
          <w:b/>
        </w:rPr>
        <w:t xml:space="preserve">Internal note, 2026-09-06. Not submitted.</w:t>
      </w:r>
    </w:p>
    <w:bookmarkStart w:id="20" w:name="the-short-version"/>
    <w:p>
      <w:pPr>
        <w:pStyle w:val="Heading2"/>
      </w:pPr>
      <w:r>
        <w:t xml:space="preserve">The short version</w:t>
      </w:r>
    </w:p>
    <w:p>
      <w:pPr>
        <w:pStyle w:val="FirstParagraph"/>
      </w:pPr>
      <w:r>
        <w:t xml:space="preserve">The paper had three objectives and no spine. The objectives were three things the</w:t>
      </w:r>
      <w:r>
        <w:t xml:space="preserve"> </w:t>
      </w:r>
      <w:r>
        <w:t xml:space="preserve">analysis had done rather than three things the paper argues. It now makes two points,</w:t>
      </w:r>
      <w:r>
        <w:t xml:space="preserve"> </w:t>
      </w:r>
      <w:r>
        <w:t xml:space="preserve">and every section is placed under one of them.</w:t>
      </w:r>
    </w:p>
    <w:p>
      <w:pPr>
        <w:pStyle w:val="BlockText"/>
      </w:pPr>
      <w:r>
        <w:rPr>
          <w:bCs/>
          <w:b/>
        </w:rPr>
        <w:t xml:space="preserve">Point 1.</w:t>
      </w:r>
      <w:r>
        <w:t xml:space="preserve"> </w:t>
      </w:r>
      <w:r>
        <w:t xml:space="preserve">A generalized pretrained transformer embedding of a patient narrative</w:t>
      </w:r>
      <w:r>
        <w:t xml:space="preserve"> </w:t>
      </w:r>
      <w:r>
        <w:t xml:space="preserve">does not significantly outperform a typed feature vector built from the same record.</w:t>
      </w:r>
      <w:r>
        <w:t xml:space="preserve"> </w:t>
      </w:r>
      <w:r>
        <w:t xml:space="preserve">Best against best, +0.008 ROC AUC (95% CI −0.003 to +0.019).</w:t>
      </w:r>
    </w:p>
    <w:p>
      <w:pPr>
        <w:pStyle w:val="BlockText"/>
      </w:pPr>
      <w:r>
        <w:rPr>
          <w:bCs/>
          <w:b/>
        </w:rPr>
        <w:t xml:space="preserve">Point 2.</w:t>
      </w:r>
      <w:r>
        <w:t xml:space="preserve"> </w:t>
      </w:r>
      <w:r>
        <w:t xml:space="preserve">Nearest-neighbor retrieval over that embedding, the clinical</w:t>
      </w:r>
      <w:r>
        <w:t xml:space="preserve"> </w:t>
      </w:r>
      <w:r>
        <w:t xml:space="preserve">digital-twin premise, captures real label-informative structure and still loses</w:t>
      </w:r>
      <w:r>
        <w:t xml:space="preserve"> </w:t>
      </w:r>
      <w:r>
        <w:t xml:space="preserve">decisively to a trained model. At its own best k, chosen on the test patients,</w:t>
      </w:r>
      <w:r>
        <w:t xml:space="preserve"> </w:t>
      </w:r>
      <w:r>
        <w:t xml:space="preserve">importance-weighted retrieval reaches 0.625 (95% CI 0.610–0.641) against random</w:t>
      </w:r>
      <w:r>
        <w:t xml:space="preserve"> </w:t>
      </w:r>
      <w:r>
        <w:t xml:space="preserve">0.500 (2.5th–97.5th percentile across draws 0.484–0.515) and farthest 0.432</w:t>
      </w:r>
      <w:r>
        <w:t xml:space="preserve"> </w:t>
      </w:r>
      <w:r>
        <w:t xml:space="preserve">(95% CI 0.416–0.449). The best retrieval over every k and exponent, 0.625 (95% CI</w:t>
      </w:r>
      <w:r>
        <w:t xml:space="preserve"> </w:t>
      </w:r>
      <w:r>
        <w:t xml:space="preserve">0.610–0.640), is still 0.032 (95% CI 0.022–0.043) below the classifier fitted on</w:t>
      </w:r>
      <w:r>
        <w:t xml:space="preserve"> </w:t>
      </w:r>
      <w:r>
        <w:t xml:space="preserve">the same embedding, on a paired interval that excludes zero. This is the primary</w:t>
      </w:r>
      <w:r>
        <w:t xml:space="preserve"> </w:t>
      </w:r>
      <w:r>
        <w:t xml:space="preserve">encoder only; retrieval for the other encoders is not reported.</w:t>
      </w:r>
    </w:p>
    <w:p>
      <w:pPr>
        <w:pStyle w:val="FirstParagraph"/>
      </w:pPr>
      <w:r>
        <w:t xml:space="preserve">One thing is true of both points and bounds both answers, and it is emphasis rather</w:t>
      </w:r>
      <w:r>
        <w:t xml:space="preserve"> </w:t>
      </w:r>
      <w:r>
        <w:t xml:space="preserve">than a third point:</w:t>
      </w:r>
      <w:r>
        <w:t xml:space="preserve"> </w:t>
      </w:r>
      <w:r>
        <w:rPr>
          <w:bCs/>
          <w:b/>
        </w:rPr>
        <w:t xml:space="preserve">in both arms the patient data were hand-picked.</w:t>
      </w:r>
      <w:r>
        <w:t xml:space="preserve"> </w:t>
      </w:r>
      <w:r>
        <w:t xml:space="preserve">Section 0 is</w:t>
      </w:r>
      <w:r>
        <w:t xml:space="preserve"> </w:t>
      </w:r>
      <w:r>
        <w:t xml:space="preserve">why that is emphasis and not a point.</w:t>
      </w:r>
    </w:p>
    <w:p>
      <w:pPr>
        <w:pStyle w:val="BodyText"/>
      </w:pPr>
      <w:r>
        <w:t xml:space="preserve">Three things follow from adopting the two. The LLM clinical-similarity judge left the</w:t>
      </w:r>
      <w:r>
        <w:t xml:space="preserve"> </w:t>
      </w:r>
      <w:r>
        <w:t xml:space="preserve">packet. Limitations came back as a section. And the whole manuscript was rewritten to</w:t>
      </w:r>
      <w:r>
        <w:t xml:space="preserve"> </w:t>
      </w:r>
      <w:r>
        <w:t xml:space="preserve">sentences a reader gets on one pass.</w:t>
      </w:r>
    </w:p>
    <w:p>
      <w:pPr>
        <w:pStyle w:val="BodyText"/>
      </w:pPr>
      <w:r>
        <w:t xml:space="preserve">Nothing was deleted. Everything that came out is complete, held in</w:t>
      </w:r>
      <w:r>
        <w:t xml:space="preserve"> </w:t>
      </w:r>
      <w:r>
        <w:rPr>
          <w:rStyle w:val="VerbatimChar"/>
        </w:rPr>
        <w:t xml:space="preserve">reserve/</w:t>
      </w:r>
      <w:r>
        <w:t xml:space="preserve">, and</w:t>
      </w:r>
      <w:r>
        <w:t xml:space="preserve"> </w:t>
      </w:r>
      <w:r>
        <w:t xml:space="preserve">named below.</w:t>
      </w:r>
    </w:p>
    <w:bookmarkEnd w:id="20"/>
    <w:bookmarkStart w:id="21" w:name="X77ec51bb07c820c287d9e17672e03707d9fb92b"/>
    <w:p>
      <w:pPr>
        <w:pStyle w:val="Heading2"/>
      </w:pPr>
      <w:r>
        <w:t xml:space="preserve">0. The hand-picking emphasis, and why it is not a third point</w:t>
      </w:r>
    </w:p>
    <w:p>
      <w:pPr>
        <w:pStyle w:val="FirstParagraph"/>
      </w:pPr>
      <w:r>
        <w:rPr>
          <w:bCs/>
          <w:b/>
        </w:rPr>
        <w:t xml:space="preserve">A reader can finish this paper believing something it never showed.</w:t>
      </w:r>
      <w:r>
        <w:t xml:space="preserve"> </w:t>
      </w:r>
      <w:r>
        <w:t xml:space="preserve">The belief is</w:t>
      </w:r>
      <w:r>
        <w:t xml:space="preserve"> </w:t>
      </w:r>
      <w:r>
        <w:t xml:space="preserve">that the advantage of an embedder is skipping the feature engineering: you throw the</w:t>
      </w:r>
      <w:r>
        <w:t xml:space="preserve"> </w:t>
      </w:r>
      <w:r>
        <w:t xml:space="preserve">raw patient in, the model puts them somewhere useful, and the parity result proves it</w:t>
      </w:r>
      <w:r>
        <w:t xml:space="preserve"> </w:t>
      </w:r>
      <w:r>
        <w:t xml:space="preserve">works. Every part of that is wrong here, and it is the most natural wrong conclusion</w:t>
      </w:r>
      <w:r>
        <w:t xml:space="preserve"> </w:t>
      </w:r>
      <w:r>
        <w:t xml:space="preserve">to draw from a null.</w:t>
      </w:r>
    </w:p>
    <w:p>
      <w:pPr>
        <w:pStyle w:val="BodyText"/>
      </w:pPr>
      <w:r>
        <w:t xml:space="preserve">What actually happened is that predictor selection ran once, before either</w:t>
      </w:r>
      <w:r>
        <w:t xml:space="preserve"> </w:t>
      </w:r>
      <w:r>
        <w:t xml:space="preserve">representation existed, and both representations then encoded the same selection. The</w:t>
      </w:r>
      <w:r>
        <w:t xml:space="preserve"> </w:t>
      </w:r>
      <w:r>
        <w:t xml:space="preserve">narrative is a fixed template of section headings and field labels walked over that</w:t>
      </w:r>
      <w:r>
        <w:t xml:space="preserve"> </w:t>
      </w:r>
      <w:r>
        <w:t xml:space="preserve">inventory. So Point 1 compares two encodings of one hand-picked record, and Point 2</w:t>
      </w:r>
      <w:r>
        <w:t xml:space="preserve"> </w:t>
      </w:r>
      <w:r>
        <w:t xml:space="preserve">describes the geometry of one. The engineering was relocated from designing a feature</w:t>
      </w:r>
      <w:r>
        <w:t xml:space="preserve"> </w:t>
      </w:r>
      <w:r>
        <w:t xml:space="preserve">vector to designing a narrative template. It was not removed.</w:t>
      </w:r>
    </w:p>
    <w:p>
      <w:pPr>
        <w:pStyle w:val="BodyText"/>
      </w:pPr>
      <w:r>
        <w:rPr>
          <w:bCs/>
          <w:b/>
        </w:rPr>
        <w:t xml:space="preserve">This was briefly written up as a third point on 2026-09-06, and that was wrong.</w:t>
      </w:r>
      <w:r>
        <w:t xml:space="preserve"> </w:t>
      </w:r>
      <w:r>
        <w:t xml:space="preserve">It</w:t>
      </w:r>
      <w:r>
        <w:t xml:space="preserve"> </w:t>
      </w:r>
      <w:r>
        <w:t xml:space="preserve">is not a question the paper asks, it has no Results subsection, and calling it a point</w:t>
      </w:r>
      <w:r>
        <w:t xml:space="preserve"> </w:t>
      </w:r>
      <w:r>
        <w:t xml:space="preserve">made the Introduction promise three answers where the study has two. It is a scope</w:t>
      </w:r>
      <w:r>
        <w:t xml:space="preserve"> </w:t>
      </w:r>
      <w:r>
        <w:t xml:space="preserve">condition on both answers. It now appears as a bounding fact in the Abstract’s</w:t>
      </w:r>
      <w:r>
        <w:t xml:space="preserve"> </w:t>
      </w:r>
      <w:r>
        <w:t xml:space="preserve">objective, once in the Introduction after the two questions, in the Methods where the</w:t>
      </w:r>
      <w:r>
        <w:t xml:space="preserve"> </w:t>
      </w:r>
      <w:r>
        <w:t xml:space="preserve">representations are built, in the Discussion, in Limitations, and in the Conclusions.</w:t>
      </w:r>
      <w:r>
        <w:t xml:space="preserve"> </w:t>
      </w:r>
      <w:r>
        <w:t xml:space="preserve">The manuscript’s header comment says not to promote it again.</w:t>
      </w:r>
    </w:p>
    <w:p>
      <w:pPr>
        <w:pStyle w:val="BodyText"/>
      </w:pPr>
      <w:r>
        <w:rPr>
          <w:bCs/>
          <w:b/>
        </w:rPr>
        <w:t xml:space="preserve">It also makes a real question askable, which is why it earns emphasis rather than</w:t>
      </w:r>
      <w:r>
        <w:rPr>
          <w:bCs/>
          <w:b/>
        </w:rPr>
        <w:t xml:space="preserve"> </w:t>
      </w:r>
      <w:r>
        <w:rPr>
          <w:bCs/>
          <w:b/>
        </w:rPr>
        <w:t xml:space="preserve">one line.</w:t>
      </w:r>
      <w:r>
        <w:t xml:space="preserve"> </w:t>
      </w:r>
      <w:r>
        <w:t xml:space="preserve">If a whole untailored record could be embedded, would that space predict?</w:t>
      </w:r>
      <w:r>
        <w:t xml:space="preserve"> </w:t>
      </w:r>
      <w:r>
        <w:t xml:space="preserve">Nobody knows, and this study cannot say. The obstacle is length rather than principle.</w:t>
      </w:r>
      <w:r>
        <w:t xml:space="preserve"> </w:t>
      </w:r>
      <w:r>
        <w:t xml:space="preserve">Predictors here come from a fixed 730-day window, whereas recorded history reaches a</w:t>
      </w:r>
      <w:r>
        <w:t xml:space="preserve"> </w:t>
      </w:r>
      <w:r>
        <w:t xml:space="preserve">median of 1,792 days and a maximum of 5,288 across a median of 21 encounters, and an</w:t>
      </w:r>
      <w:r>
        <w:t xml:space="preserve"> </w:t>
      </w:r>
      <w:r>
        <w:t xml:space="preserve">encoder accepts a bounded input.</w:t>
      </w:r>
    </w:p>
    <w:p>
      <w:pPr>
        <w:pStyle w:val="BodyText"/>
      </w:pPr>
      <w:r>
        <w:t xml:space="preserve">That constraint is a property of the tooling and will move. The Implications section</w:t>
      </w:r>
      <w:r>
        <w:t xml:space="preserve"> </w:t>
      </w:r>
      <w:r>
        <w:t xml:space="preserve">names three ways round it. A hierarchical scheme that embeds encounters and then</w:t>
      </w:r>
      <w:r>
        <w:t xml:space="preserve"> </w:t>
      </w:r>
      <w:r>
        <w:t xml:space="preserve">embeds their sequence. A long-context encoder. Or a retrieval step that chooses which</w:t>
      </w:r>
      <w:r>
        <w:t xml:space="preserve"> </w:t>
      </w:r>
      <w:r>
        <w:t xml:space="preserve">parts of a record to encode. Each reintroduces a design decision, and that is itself</w:t>
      </w:r>
      <w:r>
        <w:t xml:space="preserve"> </w:t>
      </w:r>
      <w:r>
        <w:t xml:space="preserve">worth reporting: there may be no version of this that involves no choices at all.</w:t>
      </w:r>
    </w:p>
    <w:p>
      <w:pPr>
        <w:pStyle w:val="BodyText"/>
      </w:pPr>
      <w:r>
        <w:rPr>
          <w:bCs/>
          <w:b/>
        </w:rPr>
        <w:t xml:space="preserve">One caveat on the length argument, and it is mine rather than the paper’s.</w:t>
      </w:r>
      <w:r>
        <w:t xml:space="preserve"> </w:t>
      </w:r>
      <w:r>
        <w:t xml:space="preserve">The</w:t>
      </w:r>
      <w:r>
        <w:t xml:space="preserve"> </w:t>
      </w:r>
      <w:r>
        <w:t xml:space="preserve">numbers above are days of history and counts of encounters. They are not tokens. A</w:t>
      </w:r>
      <w:r>
        <w:t xml:space="preserve"> </w:t>
      </w:r>
      <w:r>
        <w:t xml:space="preserve">21-encounter record might serialize to a few thousand tokens, which several encoders</w:t>
      </w:r>
      <w:r>
        <w:t xml:space="preserve"> </w:t>
      </w:r>
      <w:r>
        <w:t xml:space="preserve">handle without complaint, so those figures establish that a record is long and not</w:t>
      </w:r>
      <w:r>
        <w:t xml:space="preserve"> </w:t>
      </w:r>
      <w:r>
        <w:t xml:space="preserve">that it is too long. The rendered narratives in Supplement S5 are 184 words each,</w:t>
      </w:r>
      <w:r>
        <w:t xml:space="preserve"> </w:t>
      </w:r>
      <w:r>
        <w:t xml:space="preserve">which is the only measured side of the comparison. If the real constraint is known, whether that is a</w:t>
      </w:r>
      <w:r>
        <w:t xml:space="preserve"> </w:t>
      </w:r>
      <w:r>
        <w:t xml:space="preserve">context-window limit, a batch size or an out-of-memory failure, it should replace the</w:t>
      </w:r>
      <w:r>
        <w:t xml:space="preserve"> </w:t>
      </w:r>
      <w:r>
        <w:t xml:space="preserve">proxy. Otherwise the honest version is</w:t>
      </w:r>
      <w:r>
        <w:t xml:space="preserve"> </w:t>
      </w:r>
      <w:r>
        <w:t xml:space="preserve">“</w:t>
      </w:r>
      <w:r>
        <w:t xml:space="preserve">we did not attempt it</w:t>
      </w:r>
      <w:r>
        <w:t xml:space="preserve">”</w:t>
      </w:r>
      <w:r>
        <w:t xml:space="preserve"> </w:t>
      </w:r>
      <w:r>
        <w:t xml:space="preserve">with the length</w:t>
      </w:r>
      <w:r>
        <w:t xml:space="preserve"> </w:t>
      </w:r>
      <w:r>
        <w:t xml:space="preserve">argument dropped.</w:t>
      </w:r>
    </w:p>
    <w:p>
      <w:pPr>
        <w:pStyle w:val="BodyText"/>
      </w:pPr>
      <w:r>
        <w:rPr>
          <w:bCs/>
          <w:b/>
        </w:rPr>
        <w:t xml:space="preserve">The evidence for the emphasis is the crosswalk</w:t>
      </w:r>
      <w:r>
        <w:t xml:space="preserve">, Supplement S10, which was</w:t>
      </w:r>
      <w:r>
        <w:t xml:space="preserve"> </w:t>
      </w:r>
      <w:r>
        <w:t xml:space="preserve">previously framed only as a limitation on the parity claim. It now does two jobs and</w:t>
      </w:r>
      <w:r>
        <w:t xml:space="preserve"> </w:t>
      </w:r>
      <w:r>
        <w:t xml:space="preserve">says so: it bounds Point 1, and it is the row-by-row record that neither arm was</w:t>
      </w:r>
      <w:r>
        <w:t xml:space="preserve"> </w:t>
      </w:r>
      <w:r>
        <w:t xml:space="preserve">handed a raw record. A reader who doubts the scope statement can check it in the</w:t>
      </w:r>
      <w:r>
        <w:t xml:space="preserve"> </w:t>
      </w:r>
      <w:r>
        <w:t xml:space="preserve">second column.</w:t>
      </w:r>
    </w:p>
    <w:bookmarkEnd w:id="21"/>
    <w:bookmarkStart w:id="22" w:name="why-points-and-not-objectives"/>
    <w:p>
      <w:pPr>
        <w:pStyle w:val="Heading2"/>
      </w:pPr>
      <w:r>
        <w:t xml:space="preserve">1. Why points and not objectives</w:t>
      </w:r>
    </w:p>
    <w:p>
      <w:pPr>
        <w:pStyle w:val="FirstParagraph"/>
      </w:pPr>
      <w:r>
        <w:t xml:space="preserve">The previous draft opened its Introduction on three objectives: compare the two</w:t>
      </w:r>
      <w:r>
        <w:t xml:space="preserve"> </w:t>
      </w:r>
      <w:r>
        <w:t xml:space="preserve">representations, test the embeddings across encoders and probe their geometry,</w:t>
      </w:r>
      <w:r>
        <w:t xml:space="preserve"> </w:t>
      </w:r>
      <w:r>
        <w:t xml:space="preserve">and localize the signal with an ablation. Those are three things the analysis</w:t>
      </w:r>
      <w:r>
        <w:t xml:space="preserve"> </w:t>
      </w:r>
      <w:r>
        <w:t xml:space="preserve">did. They are not three things the paper argues, and the coincidence that there</w:t>
      </w:r>
      <w:r>
        <w:t xml:space="preserve"> </w:t>
      </w:r>
      <w:r>
        <w:t xml:space="preserve">were also three of them is worth naming: the count was right and the content</w:t>
      </w:r>
      <w:r>
        <w:t xml:space="preserve"> </w:t>
      </w:r>
      <w:r>
        <w:t xml:space="preserve">was wrong.</w:t>
      </w:r>
    </w:p>
    <w:p>
      <w:pPr>
        <w:pStyle w:val="BodyText"/>
      </w:pPr>
      <w:r>
        <w:t xml:space="preserve">The second and third are support, not findings. The encoder sweep exists to show</w:t>
      </w:r>
      <w:r>
        <w:t xml:space="preserve"> </w:t>
      </w:r>
      <w:r>
        <w:t xml:space="preserve">that the parity in Point 1 is not an artifact of one encoder. The ablation exists</w:t>
      </w:r>
      <w:r>
        <w:t xml:space="preserve"> </w:t>
      </w:r>
      <w:r>
        <w:t xml:space="preserve">to show that both representations are reading the same clinical content, which is</w:t>
      </w:r>
      <w:r>
        <w:t xml:space="preserve"> </w:t>
      </w:r>
      <w:r>
        <w:t xml:space="preserve">the mechanism behind that parity. Presented as objectives in their own right they</w:t>
      </w:r>
      <w:r>
        <w:t xml:space="preserve"> </w:t>
      </w:r>
      <w:r>
        <w:t xml:space="preserve">read as three loosely related analyses, and a reader who stops after the Results</w:t>
      </w:r>
      <w:r>
        <w:t xml:space="preserve"> </w:t>
      </w:r>
      <w:r>
        <w:t xml:space="preserve">cannot say what the paper claims.</w:t>
      </w:r>
    </w:p>
    <w:p>
      <w:pPr>
        <w:pStyle w:val="BodyText"/>
      </w:pPr>
      <w:r>
        <w:t xml:space="preserve">Retrieval was the genuinely separate question and it was buried. The reason the</w:t>
      </w:r>
      <w:r>
        <w:t xml:space="preserve"> </w:t>
      </w:r>
      <w:r>
        <w:t xml:space="preserve">retrieval arm exists is the digital-twin idea: that a patient’s likely course can</w:t>
      </w:r>
      <w:r>
        <w:t xml:space="preserve"> </w:t>
      </w:r>
      <w:r>
        <w:t xml:space="preserve">be read off the recorded courses of the patients most similar to them. That is a</w:t>
      </w:r>
      <w:r>
        <w:t xml:space="preserve"> </w:t>
      </w:r>
      <w:r>
        <w:t xml:space="preserve">real proposal in precision psychiatry, an embedding makes it directly testable,</w:t>
      </w:r>
      <w:r>
        <w:t xml:space="preserve"> </w:t>
      </w:r>
      <w:r>
        <w:t xml:space="preserve">and this study tests it and finds it wanting. In the previous draft that</w:t>
      </w:r>
      <w:r>
        <w:t xml:space="preserve"> </w:t>
      </w:r>
      <w:r>
        <w:t xml:space="preserve">motivation appeared nowhere. The arm was introduced as an examination of</w:t>
      </w:r>
      <w:r>
        <w:t xml:space="preserve"> </w:t>
      </w:r>
      <w:r>
        <w:t xml:space="preserve">“</w:t>
      </w:r>
      <w:r>
        <w:t xml:space="preserve">representation geometry</w:t>
      </w:r>
      <w:r>
        <w:t xml:space="preserve">”</w:t>
      </w:r>
      <w:r>
        <w:t xml:space="preserve">, which is what it measures rather than why anyone would</w:t>
      </w:r>
      <w:r>
        <w:t xml:space="preserve"> </w:t>
      </w:r>
      <w:r>
        <w:t xml:space="preserve">care.</w:t>
      </w:r>
    </w:p>
    <w:p>
      <w:pPr>
        <w:pStyle w:val="BodyText"/>
      </w:pPr>
      <w:r>
        <w:t xml:space="preserve">So the Introduction now poses two questions and the paper answers them in</w:t>
      </w:r>
      <w:r>
        <w:t xml:space="preserve"> </w:t>
      </w:r>
      <w:r>
        <w:t xml:space="preserve">order. The encoder sweep and the ablation sit under Point 1 as what makes it</w:t>
      </w:r>
      <w:r>
        <w:t xml:space="preserve"> </w:t>
      </w:r>
      <w:r>
        <w:t xml:space="preserve">credible. The digital-twin premise is named in the Introduction, tested in the</w:t>
      </w:r>
      <w:r>
        <w:t xml:space="preserve"> </w:t>
      </w:r>
      <w:r>
        <w:t xml:space="preserve">Results, and answered in the Discussion. The hand-picking emphasis is stated</w:t>
      </w:r>
      <w:r>
        <w:t xml:space="preserve"> </w:t>
      </w:r>
      <w:r>
        <w:t xml:space="preserve">once after the two questions and recalled where it bites, and it has no Results</w:t>
      </w:r>
      <w:r>
        <w:t xml:space="preserve"> </w:t>
      </w:r>
      <w:r>
        <w:t xml:space="preserve">subsection because it is a scope condition rather than an answer.</w:t>
      </w:r>
    </w:p>
    <w:bookmarkEnd w:id="22"/>
    <w:bookmarkStart w:id="23" w:name="what-came-out-and-why"/>
    <w:p>
      <w:pPr>
        <w:pStyle w:val="Heading2"/>
      </w:pPr>
      <w:r>
        <w:t xml:space="preserve">2. What came out, and why</w:t>
      </w:r>
    </w:p>
    <w:p>
      <w:pPr>
        <w:pStyle w:val="FirstParagraph"/>
      </w:pPr>
      <w:r>
        <w:rPr>
          <w:bCs/>
          <w:b/>
        </w:rPr>
        <w:t xml:space="preserve">The LLM clinical-similarity judge.</w:t>
      </w:r>
      <w:r>
        <w:t xml:space="preserve"> </w:t>
      </w:r>
      <w:r>
        <w:t xml:space="preserve">It was one of four neighbor-weighting</w:t>
      </w:r>
      <w:r>
        <w:t xml:space="preserve"> </w:t>
      </w:r>
      <w:r>
        <w:t xml:space="preserve">strategies. Under nearest retrieval, the only retrieval scheme anyone would</w:t>
      </w:r>
      <w:r>
        <w:t xml:space="preserve"> </w:t>
      </w:r>
      <w:r>
        <w:t xml:space="preserve">consider using, it moved discrimination from 0.5939 to 0.5947. It helped only</w:t>
      </w:r>
      <w:r>
        <w:t xml:space="preserve"> </w:t>
      </w:r>
      <w:r>
        <w:t xml:space="preserve">under random and subsampled retrieval, which are negative controls.</w:t>
      </w:r>
    </w:p>
    <w:p>
      <w:pPr>
        <w:pStyle w:val="BodyText"/>
      </w:pPr>
      <w:r>
        <w:t xml:space="preserve">Against that it cost a rubric, two verbatim prompts, four worked examples, a</w:t>
      </w:r>
      <w:r>
        <w:t xml:space="preserve"> </w:t>
      </w:r>
      <w:r>
        <w:t xml:space="preserve">sub-score audit over a systematic sample of 1.71 million cached judgements, and a</w:t>
      </w:r>
      <w:r>
        <w:t xml:space="preserve"> </w:t>
      </w:r>
      <w:r>
        <w:t xml:space="preserve">5,000-pair re-judging experiment under a corrected rubric. That is a large amount</w:t>
      </w:r>
      <w:r>
        <w:t xml:space="preserve"> </w:t>
      </w:r>
      <w:r>
        <w:t xml:space="preserve">of a reader’s attention spent on a null result about a weighting scheme layered</w:t>
      </w:r>
      <w:r>
        <w:t xml:space="preserve"> </w:t>
      </w:r>
      <w:r>
        <w:t xml:space="preserve">on top of a retrieval predictor that is itself not competitive. It was the single</w:t>
      </w:r>
      <w:r>
        <w:t xml:space="preserve"> </w:t>
      </w:r>
      <w:r>
        <w:t xml:space="preserve">most distracting block in the packet and it served neither point.</w:t>
      </w:r>
    </w:p>
    <w:p>
      <w:pPr>
        <w:pStyle w:val="BodyText"/>
      </w:pPr>
      <w:r>
        <w:t xml:space="preserve">It is now</w:t>
      </w:r>
      <w:r>
        <w:t xml:space="preserve"> </w:t>
      </w:r>
      <w:r>
        <w:rPr>
          <w:rStyle w:val="VerbatimChar"/>
        </w:rPr>
        <w:t xml:space="preserve">reserve/llm_similarity_judge.md</w:t>
      </w:r>
      <w:r>
        <w:t xml:space="preserve">, complete, with the full four-by-four</w:t>
      </w:r>
      <w:r>
        <w:t xml:space="preserve"> </w:t>
      </w:r>
      <w:r>
        <w:t xml:space="preserve">grid, every number, and a section recording the one subgroup contrast whose</w:t>
      </w:r>
      <w:r>
        <w:t xml:space="preserve"> </w:t>
      </w:r>
      <w:r>
        <w:t xml:space="preserve">significance depends on including the judge weightings. The Methods discloses in</w:t>
      </w:r>
      <w:r>
        <w:t xml:space="preserve"> </w:t>
      </w:r>
      <w:r>
        <w:t xml:space="preserve">one sentence that the two judge-derived weightings were evaluated, that they added</w:t>
      </w:r>
      <w:r>
        <w:t xml:space="preserve"> </w:t>
      </w:r>
      <w:r>
        <w:t xml:space="preserve">no discrimination under nearest retrieval, and that the analysis is available from</w:t>
      </w:r>
      <w:r>
        <w:t xml:space="preserve"> </w:t>
      </w:r>
      <w:r>
        <w:t xml:space="preserve">the corresponding author. That is the same disclosure pattern already used for the</w:t>
      </w:r>
      <w:r>
        <w:t xml:space="preserve"> </w:t>
      </w:r>
      <w:r>
        <w:t xml:space="preserve">matched-input parity re-run and the religion sensitivity analysis.</w:t>
      </w:r>
    </w:p>
    <w:p>
      <w:pPr>
        <w:pStyle w:val="BodyText"/>
      </w:pPr>
      <w:r>
        <w:t xml:space="preserve">Neighbor weighting in the paper is now uniform and cosine. The manuscript states</w:t>
      </w:r>
      <w:r>
        <w:t xml:space="preserve"> </w:t>
      </w:r>
      <w:r>
        <w:t xml:space="preserve">the mechanical reason they agree: within a nearest-neighbor set the similarities</w:t>
      </w:r>
      <w:r>
        <w:t xml:space="preserve"> </w:t>
      </w:r>
      <w:r>
        <w:t xml:space="preserve">are all high and all close together, so the weights are nearly uniform whatever</w:t>
      </w:r>
      <w:r>
        <w:t xml:space="preserve"> </w:t>
      </w:r>
      <w:r>
        <w:t xml:space="preserve">the formula.</w:t>
      </w:r>
    </w:p>
    <w:p>
      <w:pPr>
        <w:pStyle w:val="BodyText"/>
      </w:pPr>
      <w:r>
        <w:rPr>
          <w:bCs/>
          <w:b/>
        </w:rPr>
        <w:t xml:space="preserve">One reference left with it.</w:t>
      </w:r>
      <w:r>
        <w:t xml:space="preserve"> </w:t>
      </w:r>
      <w:r>
        <w:t xml:space="preserve">The LLM-as-a-judge reporting reference existed</w:t>
      </w:r>
      <w:r>
        <w:t xml:space="preserve"> </w:t>
      </w:r>
      <w:r>
        <w:t xml:space="preserve">only to pre-empt an objection to the judge arm. References 25–31 are now 24–30.</w:t>
      </w:r>
      <w:r>
        <w:t xml:space="preserve"> </w:t>
      </w:r>
      <w:r>
        <w:t xml:space="preserve">Everything else in the list is unchanged.</w:t>
      </w:r>
    </w:p>
    <w:bookmarkEnd w:id="23"/>
    <w:bookmarkStart w:id="24" w:name="what-went-back-in"/>
    <w:p>
      <w:pPr>
        <w:pStyle w:val="Heading2"/>
      </w:pPr>
      <w:r>
        <w:t xml:space="preserve">3. What went back in</w:t>
      </w:r>
    </w:p>
    <w:p>
      <w:pPr>
        <w:pStyle w:val="FirstParagraph"/>
      </w:pPr>
      <w:r>
        <w:rPr>
          <w:bCs/>
          <w:b/>
        </w:rPr>
        <w:t xml:space="preserve">Limitations is a section again</w:t>
      </w:r>
      <w:r>
        <w:t xml:space="preserve">, restored on the user’s instruction after being</w:t>
      </w:r>
      <w:r>
        <w:t xml:space="preserve"> </w:t>
      </w:r>
      <w:r>
        <w:t xml:space="preserve">held out on 2026-09-03 to match the supplied Discussion.</w:t>
      </w:r>
    </w:p>
    <w:p>
      <w:pPr>
        <w:pStyle w:val="BodyText"/>
      </w:pPr>
      <w:r>
        <w:t xml:space="preserve">The reason is the first item, and it is the reason the section needed a heading</w:t>
      </w:r>
      <w:r>
        <w:t xml:space="preserve"> </w:t>
      </w:r>
      <w:r>
        <w:t xml:space="preserve">rather than nine sentences distributed across the paper. The outcome counts</w:t>
      </w:r>
      <w:r>
        <w:t xml:space="preserve"> </w:t>
      </w:r>
      <w:r>
        <w:t xml:space="preserve">antidepressant switches. Nothing in the record says whether a change followed a</w:t>
      </w:r>
      <w:r>
        <w:t xml:space="preserve"> </w:t>
      </w:r>
      <w:r>
        <w:t xml:space="preserve">genuine failure to respond. A patient is switched because the drug did not work,</w:t>
      </w:r>
      <w:r>
        <w:t xml:space="preserve"> </w:t>
      </w:r>
      <w:r>
        <w:t xml:space="preserve">or because it caused intolerable side effects, or because it was unaffordable, or</w:t>
      </w:r>
      <w:r>
        <w:t xml:space="preserve"> </w:t>
      </w:r>
      <w:r>
        <w:t xml:space="preserve">because they stopped taking it, or because their prescriber prefers switching to</w:t>
      </w:r>
      <w:r>
        <w:t xml:space="preserve"> </w:t>
      </w:r>
      <w:r>
        <w:t xml:space="preserve">augmenting. All of these increment the count identically and this study cannot</w:t>
      </w:r>
      <w:r>
        <w:t xml:space="preserve"> </w:t>
      </w:r>
      <w:r>
        <w:t xml:space="preserve">distinguish them. That single fact bounds both of the paper’s points, and a</w:t>
      </w:r>
      <w:r>
        <w:t xml:space="preserve"> </w:t>
      </w:r>
      <w:r>
        <w:t xml:space="preserve">reviewer who goes looking for the heading now finds it.</w:t>
      </w:r>
    </w:p>
    <w:p>
      <w:pPr>
        <w:pStyle w:val="BodyText"/>
      </w:pPr>
      <w:r>
        <w:t xml:space="preserve">Every item carries its sources: the consensus TRD definition [2,3], the</w:t>
      </w:r>
      <w:r>
        <w:t xml:space="preserve"> </w:t>
      </w:r>
      <w:r>
        <w:t xml:space="preserve">documented US disparities in depression treatment that make switching</w:t>
      </w:r>
      <w:r>
        <w:t xml:space="preserve"> </w:t>
      </w:r>
      <w:r>
        <w:t xml:space="preserve">access-dependent [18,19], the definitions-matter literature [24-26], and the</w:t>
      </w:r>
      <w:r>
        <w:t xml:space="preserve"> </w:t>
      </w:r>
      <w:r>
        <w:t xml:space="preserve">three-health-system transportability result [30].</w:t>
      </w:r>
    </w:p>
    <w:p>
      <w:pPr>
        <w:pStyle w:val="BodyText"/>
      </w:pPr>
      <w:r>
        <w:t xml:space="preserve">The section has ten items rather than the previous nine. The new one is on</w:t>
      </w:r>
      <w:r>
        <w:t xml:space="preserve"> </w:t>
      </w:r>
      <w:r>
        <w:t xml:space="preserve">retrieval, because retrieval is now one of the two points and its own boundaries</w:t>
      </w:r>
      <w:r>
        <w:t xml:space="preserve"> </w:t>
      </w:r>
      <w:r>
        <w:t xml:space="preserve">have to be stated: the neighbor pool was one cohort, and the number of neighbors</w:t>
      </w:r>
      <w:r>
        <w:t xml:space="preserve"> </w:t>
      </w:r>
      <w:r>
        <w:t xml:space="preserve">was chosen on the test patients, so every best-k value is optimistic. Plain cosine</w:t>
      </w:r>
      <w:r>
        <w:t xml:space="preserve"> </w:t>
      </w:r>
      <w:r>
        <w:t xml:space="preserve">similarity and an importance-weighted cosine built from the fitted logistic</w:t>
      </w:r>
      <w:r>
        <w:t xml:space="preserve"> </w:t>
      </w:r>
      <w:r>
        <w:t xml:space="preserve">regression were both tried at every k; neither reached the classifiers. What the</w:t>
      </w:r>
      <w:r>
        <w:t xml:space="preserve"> </w:t>
      </w:r>
      <w:r>
        <w:t xml:space="preserve">analysis supports is narrower and still substantive.</w:t>
      </w:r>
    </w:p>
    <w:p>
      <w:pPr>
        <w:pStyle w:val="BodyText"/>
      </w:pPr>
      <w:r>
        <w:t xml:space="preserve">Both sentences that the 2026-09-03 removal had lost entirely are back: that</w:t>
      </w:r>
      <w:r>
        <w:t xml:space="preserve"> </w:t>
      </w:r>
      <w:r>
        <w:t xml:space="preserve">dropping the vital signs is arguably the wrong handling for a prediction problem,</w:t>
      </w:r>
      <w:r>
        <w:t xml:space="preserve"> </w:t>
      </w:r>
      <w:r>
        <w:t xml:space="preserve">and that the reported discrimination is an upper bound on later or external data.</w:t>
      </w:r>
    </w:p>
    <w:bookmarkEnd w:id="24"/>
    <w:bookmarkStart w:id="25" w:name="what-the-results-now-look-like"/>
    <w:p>
      <w:pPr>
        <w:pStyle w:val="Heading2"/>
      </w:pPr>
      <w:r>
        <w:t xml:space="preserve">4. What the Results now look like</w:t>
      </w:r>
    </w:p>
    <w:p>
      <w:pPr>
        <w:pStyle w:val="FirstParagraph"/>
      </w:pPr>
      <w:r>
        <w:t xml:space="preserve">The order changed, and the order was doing damage. The previous draft opened</w:t>
      </w:r>
      <w:r>
        <w:t xml:space="preserve"> </w:t>
      </w:r>
      <w:r>
        <w:t xml:space="preserve">Results on subgroup performance and confound checks, so a reader met 288</w:t>
      </w:r>
      <w:r>
        <w:t xml:space="preserve"> </w:t>
      </w:r>
      <w:r>
        <w:t xml:space="preserve">significance contrasts before meeting the finding the paper is about.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/>
        </w:tc>
        <w:tc>
          <w:p>
            <w:pPr>
              <w:pStyle w:val="Compact"/>
              <w:jc w:val="left"/>
            </w:pPr>
            <w:r>
              <w:t xml:space="preserve">Previous</w:t>
            </w:r>
          </w:p>
        </w:tc>
        <w:tc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Opens on</w:t>
            </w:r>
          </w:p>
        </w:tc>
        <w:tc>
          <w:p>
            <w:pPr>
              <w:pStyle w:val="Compact"/>
              <w:jc w:val="left"/>
            </w:pPr>
            <w:r>
              <w:t xml:space="preserve">Participant flow, cohort, subgroup performance, train/test, confounds</w:t>
            </w:r>
          </w:p>
        </w:tc>
        <w:tc>
          <w:p>
            <w:pPr>
              <w:pStyle w:val="Compact"/>
              <w:jc w:val="left"/>
            </w:pPr>
            <w:r>
              <w:t xml:space="preserve">Participant flow, cohort, then the representation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p>
            <w:pPr>
              <w:pStyle w:val="Compact"/>
              <w:jc w:val="left"/>
            </w:pPr>
            <w:r>
              <w:t xml:space="preserve">One subsection, sixth of nine</w:t>
            </w:r>
          </w:p>
        </w:tc>
        <w:tc>
          <w:p>
            <w:pPr>
              <w:pStyle w:val="Compact"/>
              <w:jc w:val="left"/>
            </w:pPr>
            <w:r>
              <w:t xml:space="preserve">Its own block, after Point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Validity checks</w:t>
            </w:r>
          </w:p>
        </w:tc>
        <w:tc>
          <w:p>
            <w:pPr>
              <w:pStyle w:val="Compact"/>
              <w:jc w:val="left"/>
            </w:pPr>
            <w:r>
              <w:t xml:space="preserve">Three separate subsections, before the main result</w:t>
            </w:r>
          </w:p>
        </w:tc>
        <w:tc>
          <w:p>
            <w:pPr>
              <w:pStyle w:val="Compact"/>
              <w:jc w:val="left"/>
            </w:pPr>
            <w:r>
              <w:t xml:space="preserve">One subsection, after both 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Main-text tables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Main-text figures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Retrieval is reported for the primary encoder only.</w:t>
      </w:r>
      <w:r>
        <w:t xml:space="preserve"> </w:t>
      </w:r>
      <w:r>
        <w:t xml:space="preserve">The cross-encoder</w:t>
      </w:r>
      <w:r>
        <w:t xml:space="preserve"> </w:t>
      </w:r>
      <w:r>
        <w:t xml:space="preserve">retrieval table rested on the pipeline’s fixed k = 50, and it is not in the</w:t>
      </w:r>
      <w:r>
        <w:t xml:space="preserve"> </w:t>
      </w:r>
      <w:r>
        <w:t xml:space="preserve">packet: every retrieval number is now read at each arm’s best k from the</w:t>
      </w:r>
      <w:r>
        <w:t xml:space="preserve"> </w:t>
      </w:r>
      <w:r>
        <w:t xml:space="preserve">neighbourhood sweep, which was run on the primary encoder. Point 2 is therefore a</w:t>
      </w:r>
      <w:r>
        <w:t xml:space="preserve"> </w:t>
      </w:r>
      <w:r>
        <w:t xml:space="preserve">single-encoder result, and the point-and-claim map says so (claims c.6–c.7).</w:t>
      </w:r>
    </w:p>
    <w:p>
      <w:pPr>
        <w:pStyle w:val="BodyText"/>
      </w:pPr>
      <w:r>
        <w:rPr>
          <w:bCs/>
          <w:b/>
        </w:rPr>
        <w:t xml:space="preserve">One figure was dropped</w:t>
      </w:r>
      <w:r>
        <w:t xml:space="preserve">, the confusion matrices for the neighbor-weighted</w:t>
      </w:r>
      <w:r>
        <w:t xml:space="preserve"> </w:t>
      </w:r>
      <w:r>
        <w:t xml:space="preserve">predictor. No number left with it; the operating characteristics were already in</w:t>
      </w:r>
      <w:r>
        <w:t xml:space="preserve"> </w:t>
      </w:r>
      <w:r>
        <w:t xml:space="preserve">the table, and the retrieval predictor is not one anybody would set a threshold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Cs/>
          <w:b/>
        </w:rPr>
        <w:t xml:space="preserve">The subgroup analysis was re-corrected over the contrasts the paper reports.</w:t>
      </w:r>
      <w:r>
        <w:t xml:space="preserve"> </w:t>
      </w:r>
      <w:r>
        <w:t xml:space="preserve">Dropping two of the four neighbor weightings takes the contrast set from 288 to</w:t>
      </w:r>
      <w:r>
        <w:t xml:space="preserve"> </w:t>
      </w:r>
      <w:r>
        <w:t xml:space="preserve">240, and Benjamini-Hochberg was recomputed over the 240. Fifty-eight exclude zero</w:t>
      </w:r>
      <w:r>
        <w:t xml:space="preserve"> </w:t>
      </w:r>
      <w:r>
        <w:t xml:space="preserve">unadjusted and 23 survive, with each retrieval arm at its best k. The reading is</w:t>
      </w:r>
      <w:r>
        <w:t xml:space="preserve"> </w:t>
      </w:r>
      <w:r>
        <w:t xml:space="preserve">unchanged: 19 of the 23 concern depression recurrence coding, sex shows no</w:t>
      </w:r>
      <w:r>
        <w:t xml:space="preserve"> </w:t>
      </w:r>
      <w:r>
        <w:t xml:space="preserve">difference anywhere, and the race contrasts stay directionally positive without</w:t>
      </w:r>
      <w:r>
        <w:t xml:space="preserve"> </w:t>
      </w:r>
      <w:r>
        <w:t xml:space="preserve">surviving correction. One contrast changes status, and it is recorded in the</w:t>
      </w:r>
      <w:r>
        <w:t xml:space="preserve"> </w:t>
      </w:r>
      <w:r>
        <w:t xml:space="preserve">reserve document rather than quietly dropped.</w:t>
      </w:r>
    </w:p>
    <w:bookmarkEnd w:id="25"/>
    <w:bookmarkStart w:id="26" w:name="the-prose"/>
    <w:p>
      <w:pPr>
        <w:pStyle w:val="Heading2"/>
      </w:pPr>
      <w:r>
        <w:t xml:space="preserve">5. The prose</w:t>
      </w:r>
    </w:p>
    <w:p>
      <w:pPr>
        <w:pStyle w:val="FirstParagraph"/>
      </w:pPr>
      <w:r>
        <w:t xml:space="preserve">The verdict from the 2026-09-04 follow-up was that the writing is too dense and</w:t>
      </w:r>
      <w:r>
        <w:t xml:space="preserve"> </w:t>
      </w:r>
      <w:r>
        <w:t xml:space="preserve">reads as machine-written. That was correct and it was measurable. The submitted</w:t>
      </w:r>
      <w:r>
        <w:t xml:space="preserve"> </w:t>
      </w:r>
      <w:r>
        <w:t xml:space="preserve">body text ran a mean of 26.2 words per sentence against a readable 18 to 20, with</w:t>
      </w:r>
      <w:r>
        <w:t xml:space="preserve"> </w:t>
      </w:r>
      <w:r>
        <w:t xml:space="preserve">23% of sentences over 35 words, 74 semicolons and 34 em-dashes.</w:t>
      </w:r>
    </w:p>
    <w:p>
      <w:pPr>
        <w:pStyle w:val="BodyText"/>
      </w:pPr>
      <w:r>
        <w:t xml:space="preserve">Both documents were rewritten against that, and both now measure clean: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right"/>
            </w:pPr>
            <w:r>
              <w:t xml:space="preserve">Manuscript</w:t>
            </w:r>
          </w:p>
        </w:tc>
        <w:tc>
          <w:p>
            <w:pPr>
              <w:pStyle w:val="Compact"/>
              <w:jc w:val="right"/>
            </w:pPr>
            <w:r>
              <w:t xml:space="preserve">Supplement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words per sentence</w:t>
            </w:r>
          </w:p>
        </w:tc>
        <w:tc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p>
            <w:pPr>
              <w:pStyle w:val="Compact"/>
              <w:jc w:val="right"/>
            </w:pPr>
            <w:r>
              <w:t xml:space="preserve">18.3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Longest sentence</w:t>
            </w:r>
          </w:p>
        </w:tc>
        <w:tc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over 35 words</w:t>
            </w:r>
          </w:p>
        </w:tc>
        <w:tc>
          <w:p>
            <w:pPr>
              <w:pStyle w:val="Compact"/>
              <w:jc w:val="right"/>
            </w:pPr>
            <w:r>
              <w:t xml:space="preserve">1.9%</w:t>
            </w:r>
          </w:p>
        </w:tc>
        <w:tc>
          <w:p>
            <w:pPr>
              <w:pStyle w:val="Compact"/>
              <w:jc w:val="right"/>
            </w:pPr>
            <w:r>
              <w:t xml:space="preserve">4.4%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Semicolons per 1,000 words</w:t>
            </w:r>
          </w:p>
        </w:tc>
        <w:tc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Clause-joining dashes per 1,000 words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No number moved and no claim changed. The rewriting is splitting, not cutting.</w:t>
      </w:r>
    </w:p>
    <w:p>
      <w:pPr>
        <w:pStyle w:val="BodyText"/>
      </w:pPr>
      <w:r>
        <w:rPr>
          <w:bCs/>
          <w:b/>
        </w:rPr>
        <w:t xml:space="preserve">One thing to flag, because it touches the supplied text.</w:t>
      </w:r>
      <w:r>
        <w:t xml:space="preserve"> </w:t>
      </w:r>
      <w:r>
        <w:t xml:space="preserve">The Methods is the</w:t>
      </w:r>
      <w:r>
        <w:t xml:space="preserve"> </w:t>
      </w:r>
      <w:r>
        <w:t xml:space="preserve">senior author’s own condensation and the rule has been not to grow it. It was not</w:t>
      </w:r>
      <w:r>
        <w:t xml:space="preserve"> </w:t>
      </w:r>
      <w:r>
        <w:t xml:space="preserve">grown, and no number in it moved. It was nevertheless edited, and the honest</w:t>
      </w:r>
      <w:r>
        <w:t xml:space="preserve"> </w:t>
      </w:r>
      <w:r>
        <w:t xml:space="preserve">accounting is this. Twenty-six of its sentences became forty-two. Most of that is</w:t>
      </w:r>
      <w:r>
        <w:t xml:space="preserve"> </w:t>
      </w:r>
      <w:r>
        <w:t xml:space="preserve">splitting: a semicolon becomes a full stop, a two-clause sentence becomes two.</w:t>
      </w:r>
      <w:r>
        <w:t xml:space="preserve"> </w:t>
      </w:r>
      <w:r>
        <w:t xml:space="preserve">Three abbreviation redefinitions came out because the Introduction already</w:t>
      </w:r>
      <w:r>
        <w:t xml:space="preserve"> </w:t>
      </w:r>
      <w:r>
        <w:t xml:space="preserve">defines them. One paragraph was rewritten rather than split, the</w:t>
      </w:r>
      <w:r>
        <w:t xml:space="preserve"> </w:t>
      </w:r>
      <w:r>
        <w:t xml:space="preserve">neighbor-weighted retrieval paragraph, because the judge weightings left it and</w:t>
      </w:r>
      <w:r>
        <w:t xml:space="preserve"> </w:t>
      </w:r>
      <w:r>
        <w:t xml:space="preserve">the digital-twin framing went in. And</w:t>
      </w:r>
      <w:r>
        <w:t xml:space="preserve"> </w:t>
      </w:r>
      <w:r>
        <w:rPr>
          <w:iCs/>
          <w:i/>
        </w:rPr>
        <w:t xml:space="preserve">Statistical analysis</w:t>
      </w:r>
      <w:r>
        <w:t xml:space="preserve"> </w:t>
      </w:r>
      <w:r>
        <w:t xml:space="preserve">gained one sentence,</w:t>
      </w:r>
      <w:r>
        <w:t xml:space="preserve"> </w:t>
      </w:r>
      <w:r>
        <w:t xml:space="preserve">saying that the retrieval-against-classifier comparison is reported as marginal</w:t>
      </w:r>
      <w:r>
        <w:t xml:space="preserve"> </w:t>
      </w:r>
      <w:r>
        <w:t xml:space="preserve">intervals rather than as a paired test, which is the conservative choice.</w:t>
      </w:r>
    </w:p>
    <w:p>
      <w:pPr>
        <w:pStyle w:val="BodyText"/>
      </w:pPr>
      <w:r>
        <w:t xml:space="preserve">If he would rather have his sentences back exactly as written, that is a</w:t>
      </w:r>
      <w:r>
        <w:t xml:space="preserve"> </w:t>
      </w:r>
      <w:r>
        <w:t xml:space="preserve">five-minute revert and the previous text is in git.</w:t>
      </w:r>
    </w:p>
    <w:bookmarkEnd w:id="26"/>
    <w:bookmarkStart w:id="27" w:name="b.-what-the-ladder-gate-said"/>
    <w:p>
      <w:pPr>
        <w:pStyle w:val="Heading2"/>
      </w:pPr>
      <w:r>
        <w:t xml:space="preserve">5b. What the ladder gate said</w:t>
      </w:r>
    </w:p>
    <w:p>
      <w:pPr>
        <w:pStyle w:val="FirstParagraph"/>
      </w:pPr>
      <w:r>
        <w:t xml:space="preserve">This is the first packet gated by Paper-Writer’s support ladder rather than by a</w:t>
      </w:r>
      <w:r>
        <w:t xml:space="preserve"> </w:t>
      </w:r>
      <w:r>
        <w:t xml:space="preserve">person reading for coherence. The point-and-claim map was written first and run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gates/ladder.py</w:t>
      </w:r>
      <w:r>
        <w:t xml:space="preserve"> </w:t>
      </w:r>
      <w:r>
        <w:t xml:space="preserve">before any prose moved. It was re-run on 2026-09-29</w:t>
      </w:r>
      <w:r>
        <w:t xml:space="preserve"> </w:t>
      </w:r>
      <w:r>
        <w:t xml:space="preserve">after Point 2’s claims moved to best-k retrieval (c.6–c.8), and it passes with no</w:t>
      </w:r>
      <w:r>
        <w:t xml:space="preserve"> </w:t>
      </w:r>
      <w:r>
        <w:t xml:space="preserve">errors and no warnings:</w:t>
      </w:r>
    </w:p>
    <w:p>
      <w:pPr>
        <w:pStyle w:val="SourceCode"/>
      </w:pPr>
      <w:r>
        <w:rPr>
          <w:rStyle w:val="VerbatimChar"/>
        </w:rPr>
        <w:t xml:space="preserve">points: 2</w:t>
      </w:r>
      <w:r>
        <w:br/>
      </w:r>
      <w:r>
        <w:rPr>
          <w:rStyle w:val="VerbatimChar"/>
        </w:rPr>
        <w:t xml:space="preserve">claims: 20</w:t>
      </w:r>
      <w:r>
        <w:br/>
      </w:r>
      <w:r>
        <w:rPr>
          <w:rStyle w:val="VerbatimChar"/>
        </w:rPr>
        <w:t xml:space="preserve">per point:  p.1 -&gt; 14 claims,  p.2 -&gt; 10   (six serve both)</w:t>
      </w:r>
      <w:r>
        <w:br/>
      </w:r>
      <w:r>
        <w:rPr>
          <w:rStyle w:val="VerbatimChar"/>
        </w:rPr>
        <w:t xml:space="preserve">roles:      setup 2, reporting 1   (3 of 20 = 15%, ceiling 34%)</w:t>
      </w:r>
      <w:r>
        <w:br/>
      </w:r>
      <w:r>
        <w:rPr>
          <w:rStyle w:val="VerbatimChar"/>
        </w:rPr>
        <w:t xml:space="preserve">orphans:    none</w:t>
      </w:r>
      <w:r>
        <w:br/>
      </w:r>
      <w:r>
        <w:rPr>
          <w:rStyle w:val="VerbatimChar"/>
        </w:rPr>
        <w:t xml:space="preserve">planned words serving no point: 0 of 10,770   (ceiling 30%; first run only)</w:t>
      </w:r>
    </w:p>
    <w:p>
      <w:pPr>
        <w:pStyle w:val="FirstParagraph"/>
      </w:pPr>
      <w:r>
        <w:t xml:space="preserve">The word-budget line needs a section outline, which the map does not carry, so</w:t>
      </w:r>
      <w:r>
        <w:t xml:space="preserve"> </w:t>
      </w:r>
      <w:r>
        <w:t xml:space="preserve">the re-run checks the graph and the role budget only.</w:t>
      </w:r>
    </w:p>
    <w:p>
      <w:pPr>
        <w:pStyle w:val="BodyText"/>
      </w:pPr>
      <w:r>
        <w:t xml:space="preserve">Three of those lines are worth reading rather than skimming.</w:t>
      </w:r>
    </w:p>
    <w:p>
      <w:pPr>
        <w:pStyle w:val="BodyText"/>
      </w:pPr>
      <w:r>
        <w:rPr>
          <w:rStyle w:val="VerbatimChar"/>
          <w:bCs/>
          <w:b/>
        </w:rPr>
        <w:t xml:space="preserve">orphans: none</w:t>
      </w:r>
      <w:r>
        <w:t xml:space="preserve"> </w:t>
      </w:r>
      <w:r>
        <w:t xml:space="preserve">means every one of the twenty claims either serves a point or</w:t>
      </w:r>
      <w:r>
        <w:t xml:space="preserve"> </w:t>
      </w:r>
      <w:r>
        <w:t xml:space="preserve">declares why it is in the paper without serving one. The gate refuses a claim</w:t>
      </w:r>
      <w:r>
        <w:t xml:space="preserve"> </w:t>
      </w:r>
      <w:r>
        <w:t xml:space="preserve">that does neither, and the honest fix is usually to drop it.</w:t>
      </w:r>
    </w:p>
    <w:p>
      <w:pPr>
        <w:pStyle w:val="BodyText"/>
      </w:pPr>
      <w:r>
        <w:rPr>
          <w:rStyle w:val="VerbatimChar"/>
          <w:bCs/>
          <w:b/>
        </w:rPr>
        <w:t xml:space="preserve">0 of 10,770</w:t>
      </w:r>
      <w:r>
        <w:rPr>
          <w:bCs/>
          <w:b/>
        </w:rPr>
        <w:t xml:space="preserve"> </w:t>
      </w:r>
      <w:r>
        <w:rPr>
          <w:bCs/>
          <w:b/>
        </w:rPr>
        <w:t xml:space="preserve">unladdered words</w:t>
      </w:r>
      <w:r>
        <w:t xml:space="preserve"> </w:t>
      </w:r>
      <w:r>
        <w:t xml:space="preserve">is the check that would have caught the</w:t>
      </w:r>
      <w:r>
        <w:t xml:space="preserve"> </w:t>
      </w:r>
      <w:r>
        <w:t xml:space="preserve">similarity-judge supplement in the previous round. It measures how much of the</w:t>
      </w:r>
      <w:r>
        <w:t xml:space="preserve"> </w:t>
      </w:r>
      <w:r>
        <w:t xml:space="preserve">paper’s planned length sits in sections whose claims serve none of its points,</w:t>
      </w:r>
      <w:r>
        <w:t xml:space="preserve"> </w:t>
      </w:r>
      <w:r>
        <w:t xml:space="preserve">and a graph check cannot see that. A determined writer satisfies a graph check</w:t>
      </w:r>
      <w:r>
        <w:t xml:space="preserve"> </w:t>
      </w:r>
      <w:r>
        <w:t xml:space="preserve">by attaching claims loosely. Length cannot be argued with.</w:t>
      </w:r>
    </w:p>
    <w:p>
      <w:pPr>
        <w:pStyle w:val="BodyText"/>
      </w:pPr>
      <w:r>
        <w:rPr>
          <w:bCs/>
          <w:b/>
        </w:rPr>
        <w:t xml:space="preserve">The one thing the gate genuinely caught.</w:t>
      </w:r>
      <w:r>
        <w:t xml:space="preserve"> </w:t>
      </w:r>
      <w:r>
        <w:t xml:space="preserve">Collapsing the map from three</w:t>
      </w:r>
      <w:r>
        <w:t xml:space="preserve"> </w:t>
      </w:r>
      <w:r>
        <w:t xml:space="preserve">points back to two left claim c.9 still flagged as a headline claim, and it now</w:t>
      </w:r>
      <w:r>
        <w:t xml:space="preserve"> </w:t>
      </w:r>
      <w:r>
        <w:t xml:space="preserve">served two points at once. A claim that states a point states one, so the gate</w:t>
      </w:r>
      <w:r>
        <w:t xml:space="preserve"> </w:t>
      </w:r>
      <w:r>
        <w:t xml:space="preserve">refused the map until the flag came off. That is the first time the ladder has</w:t>
      </w:r>
      <w:r>
        <w:t xml:space="preserve"> </w:t>
      </w:r>
      <w:r>
        <w:t xml:space="preserve">rejected anything, and it was rejecting my own edit rather than a model’s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Cs/>
          <w:b/>
        </w:rPr>
        <w:t xml:space="preserve">And one thing this section should not be read as claiming.</w:t>
      </w:r>
      <w:r>
        <w:t xml:space="preserve"> </w:t>
      </w:r>
      <w:r>
        <w:t xml:space="preserve">The map</w:t>
      </w:r>
      <w:r>
        <w:t xml:space="preserve"> </w:t>
      </w:r>
      <w:r>
        <w:t xml:space="preserve">otherwise passed on the first run, because it was written by someone who</w:t>
      </w:r>
      <w:r>
        <w:t xml:space="preserve"> </w:t>
      </w:r>
      <w:r>
        <w:t xml:space="preserve">already knew what the gate checks. That makes this a weak test of the gate and</w:t>
      </w:r>
      <w:r>
        <w:t xml:space="preserve"> </w:t>
      </w:r>
      <w:r>
        <w:t xml:space="preserve">a reasonable test of the map: it proves the ladder holds, not that the ladder</w:t>
      </w:r>
      <w:r>
        <w:t xml:space="preserve"> </w:t>
      </w:r>
      <w:r>
        <w:t xml:space="preserve">would have caught a writer who was not trying to satisfy it. The honest verdict</w:t>
      </w:r>
      <w:r>
        <w:t xml:space="preserve"> </w:t>
      </w:r>
      <w:r>
        <w:t xml:space="preserve">waits for a run where a model writes the map without that knowledge.</w:t>
      </w:r>
    </w:p>
    <w:bookmarkEnd w:id="27"/>
    <w:bookmarkStart w:id="28" w:name="what-is-waiting-on-him"/>
    <w:p>
      <w:pPr>
        <w:pStyle w:val="Heading2"/>
      </w:pPr>
      <w:r>
        <w:t xml:space="preserve">6. What is waiting on him</w:t>
      </w:r>
    </w:p>
    <w:p>
      <w:pPr>
        <w:pStyle w:val="FirstParagraph"/>
      </w:pPr>
      <w:r>
        <w:t xml:space="preserve">Four things, in the order they cost.</w:t>
      </w:r>
    </w:p>
    <w:p>
      <w:pPr>
        <w:pStyle w:val="BodyText"/>
      </w:pPr>
      <w:r>
        <w:rPr>
          <w:bCs/>
          <w:b/>
        </w:rPr>
        <w:t xml:space="preserve">1. The title now names retrieval.</w:t>
      </w:r>
      <w:r>
        <w:t xml:space="preserve"> </w:t>
      </w:r>
      <w:r>
        <w:t xml:space="preserve">It reads</w:t>
      </w:r>
      <w:r>
        <w:t xml:space="preserve"> </w:t>
      </w:r>
      <w:r>
        <w:rPr>
          <w:iCs/>
          <w:i/>
        </w:rPr>
        <w:t xml:space="preserve">Typed Feature Vectors,</w:t>
      </w:r>
      <w:r>
        <w:rPr>
          <w:iCs/>
          <w:i/>
        </w:rPr>
        <w:t xml:space="preserve"> </w:t>
      </w:r>
      <w:r>
        <w:rPr>
          <w:iCs/>
          <w:i/>
        </w:rPr>
        <w:t xml:space="preserve">Generalized Pretrained Transformer Embeddings, and Nearest-Neighbor Retrieval for</w:t>
      </w:r>
      <w:r>
        <w:rPr>
          <w:iCs/>
          <w:i/>
        </w:rPr>
        <w:t xml:space="preserve"> </w:t>
      </w:r>
      <w:r>
        <w:rPr>
          <w:iCs/>
          <w:i/>
        </w:rPr>
        <w:t xml:space="preserve">Predicting a Treatment-Switch–Defined Electronic Health Record Proxy for</w:t>
      </w:r>
      <w:r>
        <w:rPr>
          <w:iCs/>
          <w:i/>
        </w:rPr>
        <w:t xml:space="preserve"> </w:t>
      </w:r>
      <w:r>
        <w:rPr>
          <w:iCs/>
          <w:i/>
        </w:rPr>
        <w:t xml:space="preserve">Treatment-Resistant Depression: Retrospective Cohort Study</w:t>
      </w:r>
      <w:r>
        <w:t xml:space="preserve">. His required phrase</w:t>
      </w:r>
      <w:r>
        <w:t xml:space="preserve"> </w:t>
      </w:r>
      <w:r>
        <w:t xml:space="preserve">is intact. A paper making two points should name both, but the title is his call</w:t>
      </w:r>
      <w:r>
        <w:t xml:space="preserve"> </w:t>
      </w:r>
      <w:r>
        <w:t xml:space="preserve">and it propagates to the cover letter and the checklist.</w:t>
      </w:r>
    </w:p>
    <w:p>
      <w:pPr>
        <w:pStyle w:val="BodyText"/>
      </w:pPr>
      <w:r>
        <w:rPr>
          <w:bCs/>
          <w:b/>
        </w:rPr>
        <w:t xml:space="preserve">2. Limitations is back and his Discussion has none.</w:t>
      </w:r>
      <w:r>
        <w:t xml:space="preserve"> </w:t>
      </w:r>
      <w:r>
        <w:t xml:space="preserve">This reverses a decision</w:t>
      </w:r>
      <w:r>
        <w:t xml:space="preserve"> </w:t>
      </w:r>
      <w:r>
        <w:t xml:space="preserve">taken to match his draft. The argument for reversing it is section 3 above. If he</w:t>
      </w:r>
      <w:r>
        <w:t xml:space="preserve"> </w:t>
      </w:r>
      <w:r>
        <w:t xml:space="preserve">prefers the section out, the two sentences named there should go into Methods and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Implications and future directions</w:t>
      </w:r>
      <w:r>
        <w:t xml:space="preserve"> </w:t>
      </w:r>
      <w:r>
        <w:t xml:space="preserve">rather than being lost again.</w:t>
      </w:r>
    </w:p>
    <w:p>
      <w:pPr>
        <w:pStyle w:val="BodyText"/>
      </w:pPr>
      <w:r>
        <w:rPr>
          <w:bCs/>
          <w:b/>
        </w:rPr>
        <w:t xml:space="preserve">3. The judge is in reserve.</w:t>
      </w:r>
      <w:r>
        <w:t xml:space="preserve"> </w:t>
      </w:r>
      <w:r>
        <w:t xml:space="preserve">If he considers the LLM-similarity arm part of the</w:t>
      </w:r>
      <w:r>
        <w:t xml:space="preserve"> </w:t>
      </w:r>
      <w:r>
        <w:t xml:space="preserve">contribution rather than a distraction, it comes back as a supplement section by</w:t>
      </w:r>
      <w:r>
        <w:t xml:space="preserve"> </w:t>
      </w:r>
      <w:r>
        <w:t xml:space="preserve">a paste. The case for holding it back is that it changes nothing where retrieval</w:t>
      </w:r>
      <w:r>
        <w:t xml:space="preserve"> </w:t>
      </w:r>
      <w:r>
        <w:t xml:space="preserve">works, and the case against is that a reviewer might want to see that a clinically</w:t>
      </w:r>
      <w:r>
        <w:t xml:space="preserve"> </w:t>
      </w:r>
      <w:r>
        <w:t xml:space="preserve">informed similarity was tried.</w:t>
      </w:r>
    </w:p>
    <w:p>
      <w:pPr>
        <w:pStyle w:val="BodyText"/>
      </w:pPr>
      <w:r>
        <w:rPr>
          <w:bCs/>
          <w:b/>
        </w:rPr>
        <w:t xml:space="preserve">4. The take-home he asked about, still unanswered.</w:t>
      </w:r>
      <w:r>
        <w:t xml:space="preserve"> </w:t>
      </w:r>
      <w:r>
        <w:t xml:space="preserve">His 2026-09-04 note said</w:t>
      </w:r>
      <w:r>
        <w:t xml:space="preserve"> </w:t>
      </w:r>
      <w:r>
        <w:t xml:space="preserve">“</w:t>
      </w:r>
      <w:r>
        <w:t xml:space="preserve">embedders are useful to match the standards other people have done</w:t>
      </w:r>
      <w:r>
        <w:t xml:space="preserve">”</w:t>
      </w:r>
      <w:r>
        <w:t xml:space="preserve">. That reads</w:t>
      </w:r>
      <w:r>
        <w:t xml:space="preserve"> </w:t>
      </w:r>
      <w:r>
        <w:t xml:space="preserve">as an instruction to lead the Discussion on parity with the published literature (Lage</w:t>
      </w:r>
      <w:r>
        <w:t xml:space="preserve"> </w:t>
      </w:r>
      <w:r>
        <w:t xml:space="preserve">0.652, Lee 0.684, Walsh 0.51–0.64 externally, ours 0.657) rather than on parity</w:t>
      </w:r>
      <w:r>
        <w:t xml:space="preserve"> </w:t>
      </w:r>
      <w:r>
        <w:t xml:space="preserve">between our two representations. The Discussion currently leads on the latter and</w:t>
      </w:r>
      <w:r>
        <w:t xml:space="preserve"> </w:t>
      </w:r>
      <w:r>
        <w:t xml:space="preserve">makes the literature comparison in its own subsection. If he meant the former, it</w:t>
      </w:r>
      <w:r>
        <w:t xml:space="preserve"> </w:t>
      </w:r>
      <w:r>
        <w:t xml:space="preserve">is a reordering of two paragraphs, not a rewrite. This was raised in the previous</w:t>
      </w:r>
      <w:r>
        <w:t xml:space="preserve"> </w:t>
      </w:r>
      <w:r>
        <w:t xml:space="preserve">round and has not been answered.</w:t>
      </w:r>
    </w:p>
    <w:bookmarkEnd w:id="28"/>
    <w:bookmarkStart w:id="29" w:name="three-word-changes-still-staged"/>
    <w:p>
      <w:pPr>
        <w:pStyle w:val="Heading2"/>
      </w:pPr>
      <w:r>
        <w:t xml:space="preserve">7. Three word changes still staged</w:t>
      </w:r>
    </w:p>
    <w:p>
      <w:pPr>
        <w:pStyle w:val="FirstParagraph"/>
      </w:pPr>
      <w:r>
        <w:t xml:space="preserve">From the 2026-09-04 follow-up, unchanged and still not applied, because each one</w:t>
      </w:r>
      <w:r>
        <w:t xml:space="preserve"> </w:t>
      </w:r>
      <w:r>
        <w:t xml:space="preserve">touches text he is rewriting: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deterministic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algorithmic</w:t>
      </w:r>
      <w:r>
        <w:t xml:space="preserve">, 18 places, which also needs the naming rule</w:t>
      </w:r>
      <w:r>
        <w:t xml:space="preserve"> </w:t>
      </w:r>
      <w:r>
        <w:t xml:space="preserve">rewritten in the same edit since</w:t>
      </w:r>
      <w:r>
        <w:t xml:space="preserve"> </w:t>
      </w:r>
      <w:r>
        <w:t xml:space="preserve">“</w:t>
      </w:r>
      <w:r>
        <w:t xml:space="preserve">deterministic</w:t>
      </w:r>
      <w:r>
        <w:t xml:space="preserve">”</w:t>
      </w:r>
      <w:r>
        <w:t xml:space="preserve"> </w:t>
      </w:r>
      <w:r>
        <w:t xml:space="preserve">is the sanctioned word there.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patient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participant</w:t>
      </w:r>
      <w:r>
        <w:t xml:space="preserve">, about 261 places, which must not touch the title,</w:t>
      </w:r>
      <w:r>
        <w:t xml:space="preserve"> </w:t>
      </w:r>
      <w:r>
        <w:t xml:space="preserve">the verbatim narratives in Supplement S5, or wording quoted from prior studies.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trained classifier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machine learning model</w:t>
      </w:r>
      <w:r>
        <w:t xml:space="preserve">, 4 places, two of which</w:t>
      </w:r>
      <w:r>
        <w:t xml:space="preserve"> </w:t>
      </w:r>
      <w:r>
        <w:t xml:space="preserve">destroy a real contrast: the phrase exists to distinguish the fitted models</w:t>
      </w:r>
      <w:r>
        <w:t xml:space="preserve"> </w:t>
      </w:r>
      <w:r>
        <w:t xml:space="preserve">from the neighbor-weighted predictor, and that distinction is now Point 2.</w:t>
      </w:r>
    </w:p>
    <w:p>
      <w:pPr>
        <w:pStyle w:val="FirstParagraph"/>
      </w:pPr>
      <w:r>
        <w:t xml:space="preserve">The third one matters more than it did a week ago. Point 2 is a comparison</w:t>
      </w:r>
      <w:r>
        <w:t xml:space="preserve"> </w:t>
      </w:r>
      <w:r>
        <w:t xml:space="preserve">between a fitted model and a predictor that fits nothing, and it needs two names.</w:t>
      </w:r>
    </w:p>
    <w:bookmarkEnd w:id="29"/>
    <w:bookmarkEnd w:id="3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2026-09-30T04:35:54Z</dcterms:created>
  <dcterms:modified xsi:type="dcterms:W3CDTF">2026-09-30T04:35:54Z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