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Cs/>
                <w:i/>
              </w:rPr>
              <w:t xml:space="preserve">Participants and Prediction Time</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1–3. Prognostic. Existing models cited [4-8,12-15]</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paragraphs 1 and 5 (identifying, at the index antidepressant prescription, patients likely to have a difficult treatment course, to inform monitoring and follow-up); Discussion,</w:t>
            </w:r>
            <w:r>
              <w:t xml:space="preserve"> </w:t>
            </w:r>
            <w:r>
              <w:rPr>
                <w:iCs/>
                <w:i/>
              </w:rPr>
              <w:t xml:space="preserve">Implications and Next Steps</w:t>
            </w:r>
            <w:r>
              <w:t xml:space="preserve"> </w:t>
            </w:r>
            <w:r>
              <w:t xml:space="preserve">(the results do not support clinical deployment; outcome validation, temporal and external evaluation, and prespecified thresholds come first)</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Methods,</w:t>
            </w:r>
            <w:r>
              <w:t xml:space="preserve"> </w:t>
            </w:r>
            <w:r>
              <w:rPr>
                <w:iCs/>
                <w:i/>
              </w:rPr>
              <w:t xml:space="preserve">Outcome</w:t>
            </w:r>
            <w:r>
              <w:t xml:space="preserve">: access to depression treatment differs across US racial and ethnic groups, so the label can record unequal access as clinical signal (with Supplement M3). Discussion,</w:t>
            </w:r>
            <w:r>
              <w:t xml:space="preserve"> </w:t>
            </w:r>
            <w:r>
              <w:rPr>
                <w:iCs/>
                <w:i/>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Cs/>
                <w:i/>
              </w:rPr>
              <w:t xml:space="preserve">Retrieval and Subgroup Performance</w:t>
            </w:r>
            <w:r>
              <w:t xml:space="preserve">, Supplement S9 (subgroup discrimination and calibration) and Supplement S11 (subgroup outcome frequency)</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Cs/>
                <w:i/>
              </w:rPr>
              <w:t xml:space="preserve">Study Design and Data Source</w:t>
            </w:r>
            <w:r>
              <w:t xml:space="preserve">;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2013–2025; extracted June 29, 2026); Methods,</w:t>
            </w:r>
            <w:r>
              <w:t xml:space="preserve"> </w:t>
            </w:r>
            <w:r>
              <w:rPr>
                <w:iCs/>
                <w:i/>
              </w:rPr>
              <w:t xml:space="preserve">Participants and Prediction Time</w:t>
            </w:r>
            <w:r>
              <w:t xml:space="preserve"> </w:t>
            </w:r>
            <w:r>
              <w:t xml:space="preserve">(730-day lookback and at least 365 days of follow-up). Figure 1 shows the lookback window, the index, and the outcome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and Prediction Time</w:t>
            </w:r>
            <w:r>
              <w:t xml:space="preserve">; Supplement M1 (diagnosis code lists) and M2, Table M1 (six hierarchical filters)</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Cs/>
                <w:i/>
              </w:rPr>
              <w:t xml:space="preserve">Patient Representations and Missing Data</w:t>
            </w:r>
            <w:r>
              <w:t xml:space="preserve"> </w:t>
            </w:r>
            <w:r>
              <w:t xml:space="preserve">(prior trial counts at 42 days of continuous exposure, which does not establish adequate dose); Methods,</w:t>
            </w:r>
            <w:r>
              <w:t xml:space="preserve"> </w:t>
            </w:r>
            <w:r>
              <w:rPr>
                <w:iCs/>
                <w:i/>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Cs/>
                <w:i/>
              </w:rPr>
              <w:t xml:space="preserve">Clinical Contributions and Encoder Robustness</w:t>
            </w:r>
            <w:r>
              <w:t xml:space="preserve">, Table 3; Supplement S12.3</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Patient Representations and Missing Data</w:t>
            </w:r>
            <w:r>
              <w:t xml:space="preserve">; Methods,</w:t>
            </w:r>
            <w:r>
              <w:t xml:space="preserve"> </w:t>
            </w:r>
            <w:r>
              <w:rPr>
                <w:iCs/>
                <w:i/>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Cs/>
                <w:i/>
              </w:rPr>
              <w:t xml:space="preserve">Outcome</w:t>
            </w:r>
            <w:r>
              <w:t xml:space="preserve">; Supplement M3; Discussion,</w:t>
            </w:r>
            <w:r>
              <w:t xml:space="preserve"> </w:t>
            </w:r>
            <w:r>
              <w:rPr>
                <w:iCs/>
                <w:i/>
              </w:rPr>
              <w:t xml:space="preserve">Clinical Interpretation and Limitations</w:t>
            </w:r>
            <w:r>
              <w:t xml:space="preserve">, paragraph 1</w:t>
            </w:r>
          </w:p>
        </w:tc>
      </w:tr>
      <w:tr>
        <w:tc>
          <w:p>
            <w:pPr>
              <w:pStyle w:val="Compact"/>
              <w:jc w:val="center"/>
            </w:pPr>
            <w:r>
              <w:t xml:space="preserve">8b</w:t>
            </w:r>
          </w:p>
        </w:tc>
        <w:tc>
          <w:p>
            <w:pPr>
              <w:pStyle w:val="Compact"/>
              <w:jc w:val="center"/>
            </w:pPr>
            <w:r>
              <w:t xml:space="preserve">D;E</w:t>
            </w:r>
          </w:p>
        </w:tc>
        <w:tc>
          <w:p>
            <w:pPr>
              <w:pStyle w:val="Compact"/>
              <w:jc w:val="left"/>
            </w:pPr>
            <w:r>
              <w:t xml:space="preserve">If outcome assessment requires subjective interpretation, describe the qualifications and demographic characteristics of the outcome assessors</w:t>
            </w:r>
          </w:p>
        </w:tc>
        <w:tc>
          <w:p>
            <w:pPr>
              <w:pStyle w:val="Compact"/>
              <w:jc w:val="left"/>
            </w:pPr>
            <w:r>
              <w:t xml:space="preserve">Not applicable. The outcome is derived algorithmically from structured prescription records; no human assessor interprets it</w:t>
            </w:r>
          </w:p>
        </w:tc>
      </w:tr>
      <w:tr>
        <w:tc>
          <w:p>
            <w:pPr>
              <w:pStyle w:val="Compact"/>
              <w:jc w:val="center"/>
            </w:pPr>
            <w:r>
              <w:t xml:space="preserve">8c</w:t>
            </w:r>
          </w:p>
        </w:tc>
        <w:tc>
          <w:p>
            <w:pPr>
              <w:pStyle w:val="Compact"/>
              <w:jc w:val="center"/>
            </w:pPr>
            <w:r>
              <w:t xml:space="preserve">D;E</w:t>
            </w:r>
          </w:p>
        </w:tc>
        <w:tc>
          <w:p>
            <w:pPr>
              <w:pStyle w:val="Compact"/>
              <w:jc w:val="left"/>
            </w:pPr>
            <w:r>
              <w:t xml:space="preserve">Report any actions to blind assessment of the outcome to be predicted</w:t>
            </w:r>
          </w:p>
        </w:tc>
        <w:tc>
          <w:p>
            <w:pPr>
              <w:pStyle w:val="Compact"/>
              <w:jc w:val="left"/>
            </w:pPr>
            <w:r>
              <w:t xml:space="preserve">Methods,</w:t>
            </w:r>
            <w:r>
              <w:t xml:space="preserve"> </w:t>
            </w:r>
            <w:r>
              <w:rPr>
                <w:iCs/>
                <w:i/>
              </w:rPr>
              <w:t xml:space="preserve">Outcome</w:t>
            </w:r>
            <w:r>
              <w:t xml:space="preserve">; Supplement M3. The label was generated in a separate upstream data-preparation pipeline, independently of the predictors, and supplied as a fixed label</w:t>
            </w:r>
          </w:p>
        </w:tc>
      </w:tr>
      <w:tr>
        <w:tc>
          <w:p>
            <w:pPr>
              <w:pStyle w:val="Compact"/>
              <w:jc w:val="center"/>
            </w:pPr>
            <w:r>
              <w:t xml:space="preserve">9a</w:t>
            </w:r>
          </w:p>
        </w:tc>
        <w:tc>
          <w:p>
            <w:pPr>
              <w:pStyle w:val="Compact"/>
              <w:jc w:val="center"/>
            </w:pPr>
            <w:r>
              <w:t xml:space="preserve">D</w:t>
            </w:r>
          </w:p>
        </w:tc>
        <w:tc>
          <w:p>
            <w:pPr>
              <w:pStyle w:val="Compact"/>
              <w:jc w:val="left"/>
            </w:pPr>
            <w:r>
              <w:t xml:space="preserve">Describe the choice of initial predictors and any pre-selection of predictors before model building</w:t>
            </w:r>
          </w:p>
        </w:tc>
        <w:tc>
          <w:p>
            <w:pPr>
              <w:pStyle w:val="Compact"/>
              <w:jc w:val="left"/>
            </w:pPr>
            <w:r>
              <w:t xml:space="preserve">Methods,</w:t>
            </w:r>
            <w:r>
              <w:t xml:space="preserve"> </w:t>
            </w:r>
            <w:r>
              <w:rPr>
                <w:iCs/>
                <w:i/>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p>
            <w:pPr>
              <w:pStyle w:val="Compact"/>
              <w:jc w:val="center"/>
            </w:pPr>
            <w:r>
              <w:t xml:space="preserve">9b</w:t>
            </w:r>
          </w:p>
        </w:tc>
        <w:tc>
          <w:p>
            <w:pPr>
              <w:pStyle w:val="Compact"/>
              <w:jc w:val="center"/>
            </w:pPr>
            <w:r>
              <w:t xml:space="preserve">D;E</w:t>
            </w:r>
          </w:p>
        </w:tc>
        <w:tc>
          <w:p>
            <w:pPr>
              <w:pStyle w:val="Compact"/>
              <w:jc w:val="left"/>
            </w:pPr>
            <w:r>
              <w:t xml:space="preserve">Clearly define all predictors, including how and when they were measured (and any actions to blind assessment of predictors for the outcome and other predictors)</w:t>
            </w:r>
          </w:p>
        </w:tc>
        <w:tc>
          <w:p>
            <w:pPr>
              <w:pStyle w:val="Compact"/>
              <w:jc w:val="left"/>
            </w:pPr>
            <w:r>
              <w:t xml:space="preserve">Methods,</w:t>
            </w:r>
            <w:r>
              <w:t xml:space="preserve"> </w:t>
            </w:r>
            <w:r>
              <w:rPr>
                <w:iCs/>
                <w:i/>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p>
            <w:pPr>
              <w:pStyle w:val="Compact"/>
              <w:jc w:val="center"/>
            </w:pPr>
            <w:r>
              <w:t xml:space="preserve">9c</w:t>
            </w:r>
          </w:p>
        </w:tc>
        <w:tc>
          <w:p>
            <w:pPr>
              <w:pStyle w:val="Compact"/>
              <w:jc w:val="center"/>
            </w:pPr>
            <w:r>
              <w:t xml:space="preserve">D;E</w:t>
            </w:r>
          </w:p>
        </w:tc>
        <w:tc>
          <w:p>
            <w:pPr>
              <w:pStyle w:val="Compact"/>
              <w:jc w:val="left"/>
            </w:pPr>
            <w:r>
              <w:t xml:space="preserve">If predictor measurement requires subjective interpretation, describe the qualifications and demographic characteristics of the predictor assessors</w:t>
            </w:r>
          </w:p>
        </w:tc>
        <w:tc>
          <w:p>
            <w:pPr>
              <w:pStyle w:val="Compact"/>
              <w:jc w:val="left"/>
            </w:pPr>
            <w:r>
              <w:t xml:space="preserve">Not applicable. All predictors are derived deterministically from structured EHR fields; the narratives are written by fixed rules, with no generative model and no human judgement (Methods,</w:t>
            </w:r>
            <w:r>
              <w:t xml:space="preserve"> </w:t>
            </w:r>
            <w:r>
              <w:rPr>
                <w:iCs/>
                <w:i/>
              </w:rPr>
              <w:t xml:space="preserve">Patient Representations and Missing Data</w:t>
            </w:r>
            <w:r>
              <w:t xml:space="preserve">; Supplement M5)</w:t>
            </w:r>
          </w:p>
        </w:tc>
      </w:tr>
      <w:tr>
        <w:tc>
          <w:p>
            <w:pPr>
              <w:pStyle w:val="Compact"/>
              <w:jc w:val="center"/>
            </w:pPr>
            <w:r>
              <w:t xml:space="preserve">10</w:t>
            </w:r>
          </w:p>
        </w:tc>
        <w:tc>
          <w:p>
            <w:pPr>
              <w:pStyle w:val="Compact"/>
              <w:jc w:val="center"/>
            </w:pPr>
            <w:r>
              <w:t xml:space="preserve">D;E</w:t>
            </w:r>
          </w:p>
        </w:tc>
        <w:tc>
          <w:p>
            <w:pPr>
              <w:pStyle w:val="Compact"/>
              <w:jc w:val="left"/>
            </w:pPr>
            <w:r>
              <w:t xml:space="preserve">Explain how the study size was arrived at (separately for development and evaluation), and justify that the study size was sufficient to answer the research question. Include details of any sample size calculation</w:t>
            </w:r>
          </w:p>
        </w:tc>
        <w:tc>
          <w:p>
            <w:pPr>
              <w:pStyle w:val="Compact"/>
              <w:jc w:val="left"/>
            </w:pPr>
            <w:r>
              <w:t xml:space="preserve">Supplement M7. No formal sample-size calculation; cohort size fixed by eligibility. Events per variable reported per representation and per encoder against the conventional threshold of 10 (Supplement M7, Table S15)</w:t>
            </w:r>
          </w:p>
        </w:tc>
      </w:tr>
      <w:tr>
        <w:tc>
          <w:p>
            <w:pPr>
              <w:pStyle w:val="Compact"/>
              <w:jc w:val="center"/>
            </w:pPr>
            <w:r>
              <w:t xml:space="preserve">11</w:t>
            </w:r>
          </w:p>
        </w:tc>
        <w:tc>
          <w:p>
            <w:pPr>
              <w:pStyle w:val="Compact"/>
              <w:jc w:val="center"/>
            </w:pPr>
            <w:r>
              <w:t xml:space="preserve">D;E</w:t>
            </w:r>
          </w:p>
        </w:tc>
        <w:tc>
          <w:p>
            <w:pPr>
              <w:pStyle w:val="Compact"/>
              <w:jc w:val="left"/>
            </w:pPr>
            <w:r>
              <w:t xml:space="preserve">Describe how missing data were handled. Provide reasons for omitting any data</w:t>
            </w:r>
          </w:p>
        </w:tc>
        <w:tc>
          <w:p>
            <w:pPr>
              <w:pStyle w:val="Compact"/>
              <w:jc w:val="left"/>
            </w:pPr>
            <w:r>
              <w:t xml:space="preserve">Methods,</w:t>
            </w:r>
            <w:r>
              <w:t xml:space="preserve"> </w:t>
            </w:r>
            <w:r>
              <w:rPr>
                <w:iCs/>
                <w:i/>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p>
            <w:pPr>
              <w:pStyle w:val="Compact"/>
              <w:jc w:val="center"/>
            </w:pPr>
            <w:r>
              <w:t xml:space="preserve">12a</w:t>
            </w:r>
          </w:p>
        </w:tc>
        <w:tc>
          <w:p>
            <w:pPr>
              <w:pStyle w:val="Compact"/>
              <w:jc w:val="center"/>
            </w:pPr>
            <w:r>
              <w:t xml:space="preserve">D</w:t>
            </w:r>
          </w:p>
        </w:tc>
        <w:tc>
          <w:p>
            <w:pPr>
              <w:pStyle w:val="Compact"/>
              <w:jc w:val="left"/>
            </w:pPr>
            <w:r>
              <w:t xml:space="preserve">Describe how the data were used in the analysis, including whether the data were partitioned, considering any sample size requirements</w:t>
            </w:r>
          </w:p>
        </w:tc>
        <w:tc>
          <w:p>
            <w:pPr>
              <w:pStyle w:val="Compact"/>
              <w:jc w:val="left"/>
            </w:pPr>
            <w:r>
              <w:t xml:space="preserve">Methods,</w:t>
            </w:r>
            <w:r>
              <w:t xml:space="preserve"> </w:t>
            </w:r>
            <w:r>
              <w:rPr>
                <w:iCs/>
                <w:i/>
              </w:rPr>
              <w:t xml:space="preserve">Model Development and Evaluation</w:t>
            </w:r>
            <w:r>
              <w:t xml:space="preserve"> </w:t>
            </w:r>
            <w:r>
              <w:t xml:space="preserve">(one stratified 80:20 split shared by every analysis); Supplement M8 (the retrieval index holds training patients only)</w:t>
            </w:r>
          </w:p>
        </w:tc>
      </w:tr>
      <w:tr>
        <w:tc>
          <w:p>
            <w:pPr>
              <w:pStyle w:val="Compact"/>
              <w:jc w:val="center"/>
            </w:pPr>
            <w:r>
              <w:t xml:space="preserve">12b</w:t>
            </w:r>
          </w:p>
        </w:tc>
        <w:tc>
          <w:p>
            <w:pPr>
              <w:pStyle w:val="Compact"/>
              <w:jc w:val="center"/>
            </w:pPr>
            <w:r>
              <w:t xml:space="preserve">D</w:t>
            </w:r>
          </w:p>
        </w:tc>
        <w:tc>
          <w:p>
            <w:pPr>
              <w:pStyle w:val="Compact"/>
              <w:jc w:val="left"/>
            </w:pPr>
            <w:r>
              <w:t xml:space="preserve">Depending on the type of model, describe how predictors were handled in the analyses (functional form, rescaling, transformation, or any standardisation)</w:t>
            </w:r>
          </w:p>
        </w:tc>
        <w:tc>
          <w:p>
            <w:pPr>
              <w:pStyle w:val="Compact"/>
              <w:jc w:val="left"/>
            </w:pPr>
            <w:r>
              <w:t xml:space="preserve">Methods,</w:t>
            </w:r>
            <w:r>
              <w:t xml:space="preserve"> </w:t>
            </w:r>
            <w:r>
              <w:rPr>
                <w:iCs/>
                <w:i/>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p>
            <w:pPr>
              <w:pStyle w:val="Compact"/>
              <w:jc w:val="center"/>
            </w:pPr>
            <w:r>
              <w:t xml:space="preserve">12c</w:t>
            </w:r>
          </w:p>
        </w:tc>
        <w:tc>
          <w:p>
            <w:pPr>
              <w:pStyle w:val="Compact"/>
              <w:jc w:val="center"/>
            </w:pPr>
            <w:r>
              <w:t xml:space="preserve">D</w:t>
            </w:r>
          </w:p>
        </w:tc>
        <w:tc>
          <w:p>
            <w:pPr>
              <w:pStyle w:val="Compact"/>
              <w:jc w:val="left"/>
            </w:pPr>
            <w:r>
              <w:t xml:space="preserve">Specify the type of model, rationale, all model-building steps, including any hyperparameter tuning, and method for internal validation</w:t>
            </w:r>
          </w:p>
        </w:tc>
        <w:tc>
          <w:p>
            <w:pPr>
              <w:pStyle w:val="Compact"/>
              <w:jc w:val="left"/>
            </w:pPr>
            <w:r>
              <w:t xml:space="preserve">Methods,</w:t>
            </w:r>
            <w:r>
              <w:t xml:space="preserve"> </w:t>
            </w:r>
            <w:r>
              <w:rPr>
                <w:iCs/>
                <w:i/>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at its best k, chosen on the test patients and therefore optimistic (Methods,</w:t>
            </w:r>
            <w:r>
              <w:t xml:space="preserve"> </w:t>
            </w:r>
            <w:r>
              <w:rPr>
                <w:iCs/>
                <w:i/>
              </w:rPr>
              <w:t xml:space="preserve">Supporting Analyses</w:t>
            </w:r>
            <w:r>
              <w:t xml:space="preserve">; Supplement M10). Internal validation is the held-out 20% split</w:t>
            </w:r>
          </w:p>
        </w:tc>
      </w:tr>
      <w:tr>
        <w:tc>
          <w:p>
            <w:pPr>
              <w:pStyle w:val="Compact"/>
              <w:jc w:val="center"/>
            </w:pPr>
            <w:r>
              <w:t xml:space="preserve">12d</w:t>
            </w:r>
          </w:p>
        </w:tc>
        <w:tc>
          <w:p>
            <w:pPr>
              <w:pStyle w:val="Compact"/>
              <w:jc w:val="center"/>
            </w:pPr>
            <w:r>
              <w:t xml:space="preserve">D;E</w:t>
            </w:r>
          </w:p>
        </w:tc>
        <w:tc>
          <w:p>
            <w:pPr>
              <w:pStyle w:val="Compact"/>
              <w:jc w:val="left"/>
            </w:pPr>
            <w:r>
              <w:t xml:space="preserve">Describe if and how any heterogeneity in estimates of model parameter values and model performance was handled and quantified across clusters</w:t>
            </w:r>
          </w:p>
        </w:tc>
        <w:tc>
          <w:p>
            <w:pPr>
              <w:pStyle w:val="Compact"/>
              <w:jc w:val="left"/>
            </w:pPr>
            <w:r>
              <w:t xml:space="preserve">Not applicable. Data come from a single source with no modelled cluster structure; no clustered or multi-centre analysis was performed</w:t>
            </w:r>
          </w:p>
        </w:tc>
      </w:tr>
      <w:tr>
        <w:tc>
          <w:p>
            <w:pPr>
              <w:pStyle w:val="Compact"/>
              <w:jc w:val="center"/>
            </w:pPr>
            <w:r>
              <w:t xml:space="preserve">12e</w:t>
            </w:r>
          </w:p>
        </w:tc>
        <w:tc>
          <w:p>
            <w:pPr>
              <w:pStyle w:val="Compact"/>
              <w:jc w:val="center"/>
            </w:pPr>
            <w:r>
              <w:t xml:space="preserve">D;E</w:t>
            </w:r>
          </w:p>
        </w:tc>
        <w:tc>
          <w:p>
            <w:pPr>
              <w:pStyle w:val="Compact"/>
              <w:jc w:val="left"/>
            </w:pPr>
            <w:r>
              <w:t xml:space="preserve">Specify all measures and plots used (and their rationale) to evaluate model performance and, if relevant, to compare multiple models</w:t>
            </w:r>
          </w:p>
        </w:tc>
        <w:tc>
          <w:p>
            <w:pPr>
              <w:pStyle w:val="Compact"/>
              <w:jc w:val="left"/>
            </w:pPr>
            <w:r>
              <w:t xml:space="preserve">Methods,</w:t>
            </w:r>
            <w:r>
              <w:t xml:space="preserve"> </w:t>
            </w:r>
            <w:r>
              <w:rPr>
                <w:iCs/>
                <w:i/>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p>
            <w:pPr>
              <w:pStyle w:val="Compact"/>
              <w:jc w:val="center"/>
            </w:pPr>
            <w:r>
              <w:t xml:space="preserve">12f</w:t>
            </w:r>
          </w:p>
        </w:tc>
        <w:tc>
          <w:p>
            <w:pPr>
              <w:pStyle w:val="Compact"/>
              <w:jc w:val="center"/>
            </w:pPr>
            <w:r>
              <w:t xml:space="preserve">E</w:t>
            </w:r>
          </w:p>
        </w:tc>
        <w:tc>
          <w:p>
            <w:pPr>
              <w:pStyle w:val="Compact"/>
              <w:jc w:val="left"/>
            </w:pPr>
            <w:r>
              <w:t xml:space="preserve">Describe any model updating arising from the model evaluation, either overall or for particular sociodemographic groups or settings</w:t>
            </w:r>
          </w:p>
        </w:tc>
        <w:tc>
          <w:p>
            <w:pPr>
              <w:pStyle w:val="Compact"/>
              <w:jc w:val="left"/>
            </w:pPr>
            <w:r>
              <w:t xml:space="preserve">Not applicable. No recalibration or model updating was performed after evaluation</w:t>
            </w:r>
          </w:p>
        </w:tc>
      </w:tr>
      <w:tr>
        <w:tc>
          <w:p>
            <w:pPr>
              <w:pStyle w:val="Compact"/>
              <w:jc w:val="center"/>
            </w:pPr>
            <w:r>
              <w:t xml:space="preserve">12g</w:t>
            </w:r>
          </w:p>
        </w:tc>
        <w:tc>
          <w:p>
            <w:pPr>
              <w:pStyle w:val="Compact"/>
              <w:jc w:val="center"/>
            </w:pPr>
            <w:r>
              <w:t xml:space="preserve">E</w:t>
            </w:r>
          </w:p>
        </w:tc>
        <w:tc>
          <w:p>
            <w:pPr>
              <w:pStyle w:val="Compact"/>
              <w:jc w:val="left"/>
            </w:pPr>
            <w:r>
              <w:t xml:space="preserve">For model evaluation, describe how the model predictions were calculated</w:t>
            </w:r>
          </w:p>
        </w:tc>
        <w:tc>
          <w:p>
            <w:pPr>
              <w:pStyle w:val="Compact"/>
              <w:jc w:val="left"/>
            </w:pPr>
            <w:r>
              <w:t xml:space="preserve">Methods,</w:t>
            </w:r>
            <w:r>
              <w:t xml:space="preserve"> </w:t>
            </w:r>
            <w:r>
              <w:rPr>
                <w:iCs/>
                <w:i/>
              </w:rPr>
              <w:t xml:space="preserve">Model Development and Evaluation</w:t>
            </w:r>
            <w:r>
              <w:t xml:space="preserve"> </w:t>
            </w:r>
            <w:r>
              <w:t xml:space="preserve">(classifier predicted probabilities from the refitted pipeline); Methods,</w:t>
            </w:r>
            <w:r>
              <w:t xml:space="preserve"> </w:t>
            </w:r>
            <w:r>
              <w:rPr>
                <w:iCs/>
                <w:i/>
              </w:rPr>
              <w:t xml:space="preserve">Supporting Analyses</w:t>
            </w:r>
            <w:r>
              <w:t xml:space="preserve">, Equations 1–2 (the neighbor-retrieval risk score in closed form); Supplement M10; Data Availability (analysis code)</w:t>
            </w:r>
          </w:p>
        </w:tc>
      </w:tr>
      <w:tr>
        <w:tc>
          <w:p>
            <w:pPr>
              <w:pStyle w:val="Compact"/>
              <w:jc w:val="center"/>
            </w:pPr>
            <w:r>
              <w:t xml:space="preserve">13</w:t>
            </w:r>
          </w:p>
        </w:tc>
        <w:tc>
          <w:p>
            <w:pPr>
              <w:pStyle w:val="Compact"/>
              <w:jc w:val="center"/>
            </w:pPr>
            <w:r>
              <w:t xml:space="preserve">D;E</w:t>
            </w:r>
          </w:p>
        </w:tc>
        <w:tc>
          <w:p>
            <w:pPr>
              <w:pStyle w:val="Compact"/>
              <w:jc w:val="left"/>
            </w:pPr>
            <w:r>
              <w:t xml:space="preserve">If class imbalance methods were used, state why and how this was done, and any subsequent methods to recalibrate the model or the model predictions</w:t>
            </w:r>
          </w:p>
        </w:tc>
        <w:tc>
          <w:p>
            <w:pPr>
              <w:pStyle w:val="Compact"/>
              <w:jc w:val="left"/>
            </w:pPr>
            <w:r>
              <w:t xml:space="preserve">No class-imbalance method was used: no resampling, class weighting, or recalibration, stated in Methods,</w:t>
            </w:r>
            <w:r>
              <w:t xml:space="preserve"> </w:t>
            </w:r>
            <w:r>
              <w:rPr>
                <w:iCs/>
                <w:i/>
              </w:rPr>
              <w:t xml:space="preserve">Model Development and Evaluation</w:t>
            </w:r>
            <w:r>
              <w:t xml:space="preserve">. The 17.5% positive rate was preserved in both partitions by the stratified split (Methods,</w:t>
            </w:r>
            <w:r>
              <w:t xml:space="preserve"> </w:t>
            </w:r>
            <w:r>
              <w:rPr>
                <w:iCs/>
                <w:i/>
              </w:rPr>
              <w:t xml:space="preserve">Model Development and Evaluation</w:t>
            </w:r>
            <w:r>
              <w:t xml:space="preserve">; Supplement M8). Consequences for interpretation: precision–recall analysis (Supplement S2) and calibration (Supplement S3)</w:t>
            </w:r>
          </w:p>
        </w:tc>
      </w:tr>
      <w:tr>
        <w:tc>
          <w:p>
            <w:pPr>
              <w:pStyle w:val="Compact"/>
              <w:jc w:val="center"/>
            </w:pPr>
            <w:r>
              <w:t xml:space="preserve">14</w:t>
            </w:r>
          </w:p>
        </w:tc>
        <w:tc>
          <w:p>
            <w:pPr>
              <w:pStyle w:val="Compact"/>
              <w:jc w:val="center"/>
            </w:pPr>
            <w:r>
              <w:t xml:space="preserve">D;E</w:t>
            </w:r>
          </w:p>
        </w:tc>
        <w:tc>
          <w:p>
            <w:pPr>
              <w:pStyle w:val="Compact"/>
              <w:jc w:val="left"/>
            </w:pPr>
            <w:r>
              <w:t xml:space="preserve">Describe any approaches that were used to address model fairness and their rationale</w:t>
            </w:r>
          </w:p>
        </w:tc>
        <w:tc>
          <w:p>
            <w:pPr>
              <w:pStyle w:val="Compact"/>
              <w:jc w:val="left"/>
            </w:pPr>
            <w:r>
              <w:t xml:space="preserve">No fairness assessment was performed, and the manuscript says so. Methods,</w:t>
            </w:r>
            <w:r>
              <w:t xml:space="preserve"> </w:t>
            </w:r>
            <w:r>
              <w:rPr>
                <w:iCs/>
                <w:i/>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Cs/>
                <w:i/>
              </w:rPr>
              <w:t xml:space="preserve">Retrieval and Subgroup Performance</w:t>
            </w:r>
            <w:r>
              <w:t xml:space="preserve"> </w:t>
            </w:r>
            <w:r>
              <w:t xml:space="preserve">and Supplement S9 (Tables S10–S12, Figure S11) report ROC AUC,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(0.005–0.046), 5 exclude zero unadjusted and none survive (minimum adjusted P = .15); feature-vector logistic regression calibration slope is 0.98 (95% CI 0.85–1.11) in White patients and 0.79 (95% CI 0.56–1.02) in other recorded racial categories, with 302 against 1,181 events. Discussion,</w:t>
            </w:r>
            <w:r>
              <w:t xml:space="preserve"> </w:t>
            </w:r>
            <w:r>
              <w:rPr>
                <w:iCs/>
                <w:i/>
              </w:rPr>
              <w:t xml:space="preserve">Clinical Interpretation and Limitations</w:t>
            </w:r>
            <w:r>
              <w:t xml:space="preserve">, paragraph 3, states that this does not establish fairness and why</w:t>
            </w:r>
          </w:p>
        </w:tc>
      </w:tr>
      <w:tr>
        <w:tc>
          <w:p>
            <w:pPr>
              <w:pStyle w:val="Compact"/>
              <w:jc w:val="center"/>
            </w:pPr>
            <w:r>
              <w:t xml:space="preserve">15</w:t>
            </w:r>
          </w:p>
        </w:tc>
        <w:tc>
          <w:p>
            <w:pPr>
              <w:pStyle w:val="Compact"/>
              <w:jc w:val="center"/>
            </w:pPr>
            <w:r>
              <w:t xml:space="preserve">D</w:t>
            </w:r>
          </w:p>
        </w:tc>
        <w:tc>
          <w:p>
            <w:pPr>
              <w:pStyle w:val="Compact"/>
              <w:jc w:val="left"/>
            </w:pPr>
            <w:r>
              <w:t xml:space="preserve">Specify the output of the prediction model. Provide details and rationale for any classification and how the thresholds were identified</w:t>
            </w:r>
          </w:p>
        </w:tc>
        <w:tc>
          <w:p>
            <w:pPr>
              <w:pStyle w:val="Compact"/>
              <w:jc w:val="left"/>
            </w:pPr>
            <w:r>
              <w:t xml:space="preserve">Methods,</w:t>
            </w:r>
            <w:r>
              <w:t xml:space="preserve"> </w:t>
            </w:r>
            <w:r>
              <w:rPr>
                <w:iCs/>
                <w:i/>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Cs/>
                <w:i/>
              </w:rPr>
              <w:t xml:space="preserve">Implications and Next Steps</w:t>
            </w:r>
            <w:r>
              <w:t xml:space="preserve"> </w:t>
            </w:r>
            <w:r>
              <w:t xml:space="preserve">calls for prespecified thresholds</w:t>
            </w:r>
          </w:p>
        </w:tc>
      </w:tr>
      <w:tr>
        <w:tc>
          <w:p>
            <w:pPr>
              <w:pStyle w:val="Compact"/>
              <w:jc w:val="center"/>
            </w:pPr>
            <w:r>
              <w:t xml:space="preserve">16</w:t>
            </w:r>
          </w:p>
        </w:tc>
        <w:tc>
          <w:p>
            <w:pPr>
              <w:pStyle w:val="Compact"/>
              <w:jc w:val="center"/>
            </w:pPr>
            <w:r>
              <w:t xml:space="preserve">D;E</w:t>
            </w:r>
          </w:p>
        </w:tc>
        <w:tc>
          <w:p>
            <w:pPr>
              <w:pStyle w:val="Compact"/>
              <w:jc w:val="left"/>
            </w:pPr>
            <w:r>
              <w:t xml:space="preserve">Identify any differences between the development and evaluation data in healthcare setting, eligibility criteria, outcome, and predictors</w:t>
            </w:r>
          </w:p>
        </w:tc>
        <w:tc>
          <w:p>
            <w:pPr>
              <w:pStyle w:val="Compact"/>
              <w:jc w:val="left"/>
            </w:pPr>
            <w:r>
              <w:t xml:space="preserve">None: both partitions are one random stratified split of one cohort, with identical setting, eligibility, outcome, and predictors (Methods,</w:t>
            </w:r>
            <w:r>
              <w:t xml:space="preserve"> </w:t>
            </w:r>
            <w:r>
              <w:rPr>
                <w:iCs/>
                <w:i/>
              </w:rPr>
              <w:t xml:space="preserve">Model Development and Evaluation</w:t>
            </w:r>
            <w:r>
              <w:t xml:space="preserve">; Supplement M8). Balance: Results,</w:t>
            </w:r>
            <w:r>
              <w:t xml:space="preserve"> </w:t>
            </w:r>
            <w:r>
              <w:rPr>
                <w:iCs/>
                <w:i/>
              </w:rPr>
              <w:t xml:space="preserve">Cohort Characteristics</w:t>
            </w:r>
            <w:r>
              <w:t xml:space="preserve"> </w:t>
            </w:r>
            <w:r>
              <w:t xml:space="preserve">(maximum absolute standardized mean difference 0.036); Supplement S8, Table S9</w:t>
            </w:r>
          </w:p>
        </w:tc>
      </w:tr>
      <w:tr>
        <w:tc>
          <w:p>
            <w:pPr>
              <w:pStyle w:val="Compact"/>
              <w:jc w:val="center"/>
            </w:pPr>
            <w:r>
              <w:t xml:space="preserve">17</w:t>
            </w:r>
          </w:p>
        </w:tc>
        <w:tc>
          <w:p>
            <w:pPr>
              <w:pStyle w:val="Compact"/>
              <w:jc w:val="center"/>
            </w:pPr>
            <w:r>
              <w:t xml:space="preserve">D;E</w:t>
            </w:r>
          </w:p>
        </w:tc>
        <w:tc>
          <w:p>
            <w:pPr>
              <w:pStyle w:val="Compact"/>
              <w:jc w:val="left"/>
            </w:pPr>
            <w:r>
              <w:t xml:space="preserve">Name the institutional research board or ethics committee that approved the study and describe the participant-informed consent or the ethics committee waiver of informed consent</w:t>
            </w:r>
          </w:p>
        </w:tc>
        <w:tc>
          <w:p>
            <w:pPr>
              <w:pStyle w:val="Compact"/>
              <w:jc w:val="left"/>
            </w:pPr>
            <w:r>
              <w:t xml:space="preserve">Methods,</w:t>
            </w:r>
            <w:r>
              <w:t xml:space="preserve"> </w:t>
            </w:r>
            <w:r>
              <w:rPr>
                <w:iCs/>
                <w:i/>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Funding. The William K. Warren Foundation, with no other funding agency; the funder had no role in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Conflicts of Interest.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Protocol and Registration. No study protocol was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Protocol and Registration.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Data Availability. The EHR data cannot be shared publicly</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Data Availability. Analysis code is public at https://github.com/Pirate-Hunter-Zoro/TRD-EHR; software is named in Methods,</w:t>
            </w:r>
            <w:r>
              <w:t xml:space="preserve"> </w:t>
            </w:r>
            <w:r>
              <w:rPr>
                <w:iCs/>
                <w:i/>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Methods,</w:t>
            </w:r>
            <w:r>
              <w:t xml:space="preserve"> </w:t>
            </w:r>
            <w:r>
              <w:rPr>
                <w:iCs/>
                <w:i/>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Cohort Characteristics</w:t>
            </w:r>
            <w:r>
              <w:t xml:space="preserve">; Supplement M2, Table M1 (501,718 → 42,579; 7,455 outcome-positive, 17.5%). At least 365 days of follow-up is imposed by eligibility (Methods,</w:t>
            </w:r>
            <w:r>
              <w:t xml:space="preserve"> </w:t>
            </w:r>
            <w:r>
              <w:rPr>
                <w:iCs/>
                <w:i/>
              </w:rPr>
              <w:t xml:space="preserve">Participants and Prediction Time</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Cohort Characteristics</w:t>
            </w:r>
            <w:r>
              <w:t xml:space="preserve">; Supplement S8, Table S9 (training against test on the Table 1 characteristics). Maximum absolute standardized mean difference 0.036 over 100 predictor rows</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Model Development and Evaluation</w:t>
            </w:r>
            <w:r>
              <w:t xml:space="preserve">; Supplement M7, M8. Training 34,063 (5,964 events); test 8,516 (1,491 events). Per-subgroup counts and events: Supplement S9, Tables S10–S11</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Cs/>
                <w:i/>
              </w:rPr>
              <w:t xml:space="preserve">Supporting Analyses</w:t>
            </w:r>
            <w:r>
              <w:t xml:space="preserve">, Equations 1–2). Fitted model objects are not distributed because they derive from non-shareable patient data (Data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Discrimination and Calibration</w:t>
            </w:r>
            <w:r>
              <w:t xml:space="preserve"> </w:t>
            </w:r>
            <w:r>
              <w:t xml:space="preserve">(Table 2, Figure 2);</w:t>
            </w:r>
            <w:r>
              <w:t xml:space="preserve"> </w:t>
            </w:r>
            <w:r>
              <w:rPr>
                <w:iCs/>
                <w:i/>
              </w:rPr>
              <w:t xml:space="preserve">Clinical Contributions and Encoder Robustness</w:t>
            </w:r>
            <w:r>
              <w:t xml:space="preserve"> </w:t>
            </w:r>
            <w:r>
              <w:t xml:space="preserve">(Table 3, Figure 3);</w:t>
            </w:r>
            <w:r>
              <w:t xml:space="preserve"> </w:t>
            </w:r>
            <w:r>
              <w:rPr>
                <w:iCs/>
                <w:i/>
              </w:rPr>
              <w:t xml:space="preserve">Retrieval and Subgroup Performance</w:t>
            </w:r>
            <w:r>
              <w:t xml:space="preserve"> </w:t>
            </w:r>
            <w:r>
              <w:t xml:space="preserve">(Figure 4, each retrieval arm at its best k with its 95% CI, and the random floor with its 2.5th–97.5th percentile band); Supplement S2–S3 (Tables S1–S4, every classifier and each retrieval arm at its best k with a bootstrap 95% CI), S6 (Table S7, Figures S8–S9), S7 (Table S8), S12 (Table S15). Subgroup performance: Supplement S9 (Tables S10–S12, Figure S11)</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Comparison With Prior Work</w:t>
            </w:r>
            <w:r>
              <w:t xml:space="preserve"> </w:t>
            </w:r>
            <w:r>
              <w:t xml:space="preserve">[12-15]. Fairness: Discussion,</w:t>
            </w:r>
            <w:r>
              <w:t xml:space="preserve"> </w:t>
            </w:r>
            <w:r>
              <w:rPr>
                <w:iCs/>
                <w:i/>
              </w:rPr>
              <w:t xml:space="preserve">Clinical Interpretation and Limitations</w:t>
            </w:r>
            <w:r>
              <w:t xml:space="preserve">, paragraph 3 [28,29]</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Cs/>
                <w:i/>
              </w:rPr>
              <w:t xml:space="preserve">Model Development and Evaluation</w:t>
            </w:r>
            <w:r>
              <w:t xml:space="preserve"> </w:t>
            </w:r>
            <w:r>
              <w:t xml:space="preserve">(post hoc best-model comparison; no equivalence margin). Unequal field content between the pipelines: Methods,</w:t>
            </w:r>
            <w:r>
              <w:t xml:space="preserve"> </w:t>
            </w:r>
            <w:r>
              <w:rPr>
                <w:iCs/>
                <w:i/>
              </w:rPr>
              <w:t xml:space="preserve">Patient Representations and Missing Data</w:t>
            </w:r>
            <w:r>
              <w:t xml:space="preserve">; Supplement S10</w:t>
            </w:r>
          </w:p>
        </w:tc>
      </w:tr>
      <w:tr>
        <w:tc>
          <w:p>
            <w:pPr>
              <w:pStyle w:val="Compact"/>
              <w:jc w:val="center"/>
            </w:pPr>
            <w:r>
              <w:t xml:space="preserve">27a</w:t>
            </w:r>
          </w:p>
        </w:tc>
        <w:tc>
          <w:p>
            <w:pPr>
              <w:pStyle w:val="Compact"/>
              <w:jc w:val="center"/>
            </w:pPr>
            <w:r>
              <w:t xml:space="preserve">D</w:t>
            </w:r>
          </w:p>
        </w:tc>
        <w:tc>
          <w:p>
            <w:pPr>
              <w:pStyle w:val="Compact"/>
              <w:jc w:val="left"/>
            </w:pPr>
            <w:r>
              <w:t xml:space="preserve">Describe how poor quality or unavailable input data should be assessed and handled when implementing the prediction model</w:t>
            </w:r>
          </w:p>
        </w:tc>
        <w:tc>
          <w:p>
            <w:pPr>
              <w:pStyle w:val="Compact"/>
              <w:jc w:val="left"/>
            </w:pPr>
            <w:r>
              <w:rPr>
                <w:bCs/>
                <w:b/>
              </w:rPr>
              <w:t xml:space="preserve">Not reported.</w:t>
            </w:r>
            <w:r>
              <w:t xml:space="preserve"> </w:t>
            </w:r>
            <w:r>
              <w:t xml:space="preserve">Missing-data handling is specified for model development (Methods,</w:t>
            </w:r>
            <w:r>
              <w:t xml:space="preserve"> </w:t>
            </w:r>
            <w:r>
              <w:rPr>
                <w:iCs/>
                <w:i/>
              </w:rPr>
              <w:t xml:space="preserve">Patient Representations and Missing Data</w:t>
            </w:r>
            <w:r>
              <w:t xml:space="preserve">) but no implementation-time guidance is given, consistent with the study not supporting deployment (Discussion,</w:t>
            </w:r>
            <w:r>
              <w:t xml:space="preserve"> </w:t>
            </w:r>
            <w:r>
              <w:rPr>
                <w:iCs/>
                <w:i/>
              </w:rPr>
              <w:t xml:space="preserve">Implications and Next Steps</w:t>
            </w:r>
            <w:r>
              <w:t xml:space="preserve">)</w:t>
            </w:r>
          </w:p>
        </w:tc>
      </w:tr>
      <w:tr>
        <w:tc>
          <w:p>
            <w:pPr>
              <w:pStyle w:val="Compact"/>
              <w:jc w:val="center"/>
            </w:pPr>
            <w:r>
              <w:t xml:space="preserve">27b</w:t>
            </w:r>
          </w:p>
        </w:tc>
        <w:tc>
          <w:p>
            <w:pPr>
              <w:pStyle w:val="Compact"/>
              <w:jc w:val="center"/>
            </w:pPr>
            <w:r>
              <w:t xml:space="preserve">D</w:t>
            </w:r>
          </w:p>
        </w:tc>
        <w:tc>
          <w:p>
            <w:pPr>
              <w:pStyle w:val="Compact"/>
              <w:jc w:val="left"/>
            </w:pPr>
            <w:r>
              <w:t xml:space="preserve">Specify whether users will be required to interact in the handling of the input data or use of the model, and what level of expertise is required of users</w:t>
            </w:r>
          </w:p>
        </w:tc>
        <w:tc>
          <w:p>
            <w:pPr>
              <w:pStyle w:val="Compact"/>
              <w:jc w:val="left"/>
            </w:pPr>
            <w:r>
              <w:t xml:space="preserve">Not applicable. The results do not support clinical deployment (Discussion,</w:t>
            </w:r>
            <w:r>
              <w:t xml:space="preserve"> </w:t>
            </w:r>
            <w:r>
              <w:rPr>
                <w:iCs/>
                <w:i/>
              </w:rPr>
              <w:t xml:space="preserve">Implications and Next Steps</w:t>
            </w:r>
            <w:r>
              <w:t xml:space="preserve">), and no user-facing implementation is proposed</w:t>
            </w:r>
          </w:p>
        </w:tc>
      </w:tr>
      <w:tr>
        <w:tc>
          <w:p>
            <w:pPr>
              <w:pStyle w:val="Compact"/>
              <w:jc w:val="center"/>
            </w:pPr>
            <w:r>
              <w:t xml:space="preserve">27c</w:t>
            </w:r>
          </w:p>
        </w:tc>
        <w:tc>
          <w:p>
            <w:pPr>
              <w:pStyle w:val="Compact"/>
              <w:jc w:val="center"/>
            </w:pPr>
            <w:r>
              <w:t xml:space="preserve">D;E</w:t>
            </w:r>
          </w:p>
        </w:tc>
        <w:tc>
          <w:p>
            <w:pPr>
              <w:pStyle w:val="Compact"/>
              <w:jc w:val="left"/>
            </w:pPr>
            <w:r>
              <w:t xml:space="preserve">Discuss any next steps for future research, with a specific view to applicability and generalizability of the model</w:t>
            </w:r>
          </w:p>
        </w:tc>
        <w:tc>
          <w:p>
            <w:pPr>
              <w:pStyle w:val="Compact"/>
              <w:jc w:val="left"/>
            </w:pPr>
            <w:r>
              <w:t xml:space="preserve">Discussion,</w:t>
            </w:r>
            <w:r>
              <w:t xml:space="preserve"> </w:t>
            </w:r>
            <w:r>
              <w:rPr>
                <w:iCs/>
                <w:i/>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Cs/>
                <w:i/>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2026-09-30T04:35:08Z</dcterms:created>
  <dcterms:modified xsi:type="dcterms:W3CDTF">2026-09-30T04:35:08Z</dcterms:modified>
</cp:coreProperties>
</file>

<file path=docProps/custom.xml><?xml version="1.0" encoding="utf-8"?>
<Properties xmlns="http://schemas.openxmlformats.org/officeDocument/2006/custom-properties" xmlns:vt="http://schemas.openxmlformats.org/officeDocument/2006/docPropsVTypes"/>
</file>