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df6a2b08714b13376db3b1eb677cd595c82ace"/>
    <w:p>
      <w:pPr>
        <w:pStyle w:val="Heading1"/>
      </w:pPr>
      <w:r>
        <w:t xml:space="preserve">Supplement M1. Source data, setting, and sampling frame</w:t>
      </w:r>
    </w:p>
    <w:p>
      <w:pPr>
        <w:pStyle w:val="FirstParagraph"/>
      </w:pPr>
      <w:r>
        <w:t xml:space="preserve">The study used a single de-identified extract from the Epic EHR of Saint</w:t>
      </w:r>
      <w:r>
        <w:t xml:space="preserve"> </w:t>
      </w:r>
      <w:r>
        <w:t xml:space="preserve">Francis Health System. Seven files were delivered: person, encounter,</w:t>
      </w:r>
      <w:r>
        <w:t xml:space="preserve"> </w:t>
      </w:r>
      <w:r>
        <w:t xml:space="preserve">diagnosis, medication, procedure, and laboratory/flowsheet tables together</w:t>
      </w:r>
      <w:r>
        <w:t xml:space="preserve"> </w:t>
      </w:r>
      <w:r>
        <w:t xml:space="preserve">with a medication-to-RxNorm mapping table. The clinical tables originated</w:t>
      </w:r>
      <w:r>
        <w:t xml:space="preserve"> </w:t>
      </w:r>
      <w:r>
        <w:t xml:space="preserve">from the Caboodle enterprise data warehouse. The RxNorm mapping originated</w:t>
      </w:r>
      <w:r>
        <w:t xml:space="preserve"> </w:t>
      </w:r>
      <w:r>
        <w:t xml:space="preserve">from the Clarity reporting database. Body mass index and systolic and</w:t>
      </w:r>
      <w:r>
        <w:t xml:space="preserve"> </w:t>
      </w:r>
      <w:r>
        <w:t xml:space="preserve">diastolic blood pressure were obtained from the laboratory/flowsheet table.</w:t>
      </w:r>
      <w:r>
        <w:t xml:space="preserve"> </w:t>
      </w:r>
      <w:r>
        <w:t xml:space="preserve">Each table was delivered as a flat file after patient and encounter keys had</w:t>
      </w:r>
      <w:r>
        <w:t xml:space="preserve"> </w:t>
      </w:r>
      <w:r>
        <w:t xml:space="preserve">been replaced by one-way MD5 hashes, and was transferred by secure file</w:t>
      </w:r>
      <w:r>
        <w:t xml:space="preserve"> </w:t>
      </w:r>
      <w:r>
        <w:t xml:space="preserve">transfer protocol. No names, medical record numbers, direct identifiers, or</w:t>
      </w:r>
      <w:r>
        <w:t xml:space="preserve"> </w:t>
      </w:r>
      <w:r>
        <w:t xml:space="preserve">dates of birth were included.</w:t>
      </w:r>
    </w:p>
    <w:p>
      <w:pPr>
        <w:pStyle w:val="BodyText"/>
      </w:pPr>
      <w:r>
        <w:t xml:space="preserve">The delivering data team restricted the person table to one administrative</w:t>
      </w:r>
      <w:r>
        <w:t xml:space="preserve"> </w:t>
      </w:r>
      <w:r>
        <w:t xml:space="preserve">division of the health system and to patients who were current, valid,</w:t>
      </w:r>
      <w:r>
        <w:t xml:space="preserve"> </w:t>
      </w:r>
      <w:r>
        <w:t xml:space="preserve">non-test, non-historical, not recorded as deceased, and aged 18-110 years at</w:t>
      </w:r>
      <w:r>
        <w:t xml:space="preserve"> </w:t>
      </w:r>
      <w:r>
        <w:t xml:space="preserve">extraction. Eligible source encounters were completed on or before the</w:t>
      </w:r>
      <w:r>
        <w:t xml:space="preserve"> </w:t>
      </w:r>
      <w:r>
        <w:t xml:space="preserve">extraction date, had at least one associated diagnosis, and had an</w:t>
      </w:r>
      <w:r>
        <w:t xml:space="preserve"> </w:t>
      </w:r>
      <w:r>
        <w:t xml:space="preserve">inpatient, outpatient, observation, or emergency patient class.</w:t>
      </w:r>
    </w:p>
    <w:p>
      <w:pPr>
        <w:pStyle w:val="BodyText"/>
      </w:pPr>
      <w:r>
        <w:t xml:space="preserve">Investigators prespecified the diagnosis code lists. Depression comprised</w:t>
      </w:r>
      <w:r>
        <w:t xml:space="preserve"> </w:t>
      </w:r>
      <w:r>
        <w:t xml:space="preserve">ICD-9 codes 296.2, 296.3, 300.4, and 311 or ICD-10 codes F32.*, F33.*, and</w:t>
      </w:r>
      <w:r>
        <w:t xml:space="preserve"> </w:t>
      </w:r>
      <w:r>
        <w:t xml:space="preserve">F34.1. Bipolar disorder comprised ICD-9 codes 296.0 and 296.4-296.8 or</w:t>
      </w:r>
      <w:r>
        <w:t xml:space="preserve"> </w:t>
      </w:r>
      <w:r>
        <w:t xml:space="preserve">ICD-10 codes F30.* and F31.*. Schizophrenia-spectrum disorders comprised</w:t>
      </w:r>
      <w:r>
        <w:t xml:space="preserve"> </w:t>
      </w:r>
      <w:r>
        <w:t xml:space="preserve">ICD-9 codes 295.* and 298.* or ICD-10 codes F20.*, F23.*, F25.*, F28.*,</w:t>
      </w:r>
      <w:r>
        <w:t xml:space="preserve"> </w:t>
      </w:r>
      <w:r>
        <w:t xml:space="preserve">and F29.*.</w:t>
      </w:r>
    </w:p>
    <w:p>
      <w:pPr>
        <w:pStyle w:val="BodyText"/>
      </w:pPr>
      <w:r>
        <w:t xml:space="preserve">The extract was assembled as a case-enriched sample. All patients with a</w:t>
      </w:r>
      <w:r>
        <w:t xml:space="preserve"> </w:t>
      </w:r>
      <w:r>
        <w:t xml:space="preserve">depression diagnosis on the problem list were retained, and a random sample</w:t>
      </w:r>
      <w:r>
        <w:t xml:space="preserve"> </w:t>
      </w:r>
      <w:r>
        <w:t xml:space="preserve">of patients without that flag was added at an approximate 4:1</w:t>
      </w:r>
      <w:r>
        <w:t xml:space="preserve"> </w:t>
      </w:r>
      <w:r>
        <w:t xml:space="preserve">unflagged-to-flagged ratio. The remaining tables were then linked to the</w:t>
      </w:r>
      <w:r>
        <w:t xml:space="preserve"> </w:t>
      </w:r>
      <w:r>
        <w:t xml:space="preserve">person table. The delivered extract included 501,718 patients: 100,420</w:t>
      </w:r>
      <w:r>
        <w:t xml:space="preserve"> </w:t>
      </w:r>
      <w:r>
        <w:t xml:space="preserve">(20.0%) with and 401,298 (80.0%) without a problem-list depression flag.</w:t>
      </w:r>
    </w:p>
    <w:p>
      <w:pPr>
        <w:pStyle w:val="BodyText"/>
      </w:pPr>
      <w:r>
        <w:t xml:space="preserve">Sampling used the problem list, whereas study eligibility used diagnoses</w:t>
      </w:r>
      <w:r>
        <w:t xml:space="preserve"> </w:t>
      </w:r>
      <w:r>
        <w:t xml:space="preserve">recorded at individual encounters. A depression code entered at a visit is a</w:t>
      </w:r>
      <w:r>
        <w:t xml:space="preserve"> </w:t>
      </w:r>
      <w:r>
        <w:t xml:space="preserve">documented diagnosis whether or not it was ever added to the problem list. In</w:t>
      </w:r>
      <w:r>
        <w:t xml:space="preserve"> </w:t>
      </w:r>
      <w:r>
        <w:t xml:space="preserve">routine care the problem list is frequently not updated, so the two sets</w:t>
      </w:r>
      <w:r>
        <w:t xml:space="preserve"> </w:t>
      </w:r>
      <w:r>
        <w:t xml:space="preserve">overlap without either containing the other. Of the 42,579</w:t>
      </w:r>
      <w:r>
        <w:t xml:space="preserve"> </w:t>
      </w:r>
      <w:r>
        <w:t xml:space="preserve">analysis-cohort patients, 12,530 (29.4%) qualified through an encounter-level</w:t>
      </w:r>
      <w:r>
        <w:t xml:space="preserve"> </w:t>
      </w:r>
      <w:r>
        <w:t xml:space="preserve">depression diagnosis despite lacking the problem-list flag and therefore</w:t>
      </w:r>
      <w:r>
        <w:t xml:space="preserve"> </w:t>
      </w:r>
      <w:r>
        <w:t xml:space="preserve">entered through the randomly sampled group. The analysis cohort is</w:t>
      </w:r>
      <w:r>
        <w:t xml:space="preserve"> </w:t>
      </w:r>
      <w:r>
        <w:t xml:space="preserve">consequently a sample, not an enumeration, of the health system’s patients</w:t>
      </w:r>
      <w:r>
        <w:t xml:space="preserve"> </w:t>
      </w:r>
      <w:r>
        <w:t xml:space="preserve">with depression, and cohort TRD and subgroup proportions are not population</w:t>
      </w:r>
      <w:r>
        <w:t xml:space="preserve"> </w:t>
      </w:r>
      <w:r>
        <w:t xml:space="preserve">prevalence estimates. The paired comparison between representations remains</w:t>
      </w:r>
      <w:r>
        <w:t xml:space="preserve"> </w:t>
      </w:r>
      <w:r>
        <w:t xml:space="preserve">internally valid because both were evaluated in the same patients on the</w:t>
      </w:r>
      <w:r>
        <w:t xml:space="preserve"> </w:t>
      </w:r>
      <w:r>
        <w:t xml:space="preserve">same held-out split.</w:t>
      </w:r>
    </w:p>
    <w:p>
      <w:pPr>
        <w:pStyle w:val="BodyText"/>
      </w:pPr>
      <w:r>
        <w:t xml:space="preserve">The setting is a single community health system in Tulsa, Oklahoma, serving</w:t>
      </w:r>
      <w:r>
        <w:t xml:space="preserve"> </w:t>
      </w:r>
      <w:r>
        <w:t xml:space="preserve">inpatient, outpatient, observation, and emergency care. Patients enter the</w:t>
      </w:r>
      <w:r>
        <w:t xml:space="preserve"> </w:t>
      </w:r>
      <w:r>
        <w:t xml:space="preserve">cohort through routine antidepressant prescribing across those settings</w:t>
      </w:r>
      <w:r>
        <w:t xml:space="preserve"> </w:t>
      </w:r>
      <w:r>
        <w:t xml:space="preserve">rather than through psychiatric specialty referral, and the index</w:t>
      </w:r>
      <w:r>
        <w:t xml:space="preserve"> </w:t>
      </w:r>
      <w:r>
        <w:t xml:space="preserve">prescription may be written in any of them.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2026-09-08T19:38:30Z</dcterms:created>
  <dcterms:modified xsi:type="dcterms:W3CDTF">2026-09-08T19:38:30Z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