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5c2e9b68e7637b9712a461f0cad281c48737aa"/>
    <w:p>
      <w:pPr>
        <w:pStyle w:val="Heading1"/>
      </w:pPr>
      <w:r>
        <w:t xml:space="preserve">Supplement M3. Outcome construction and inferential boundary</w:t>
      </w:r>
    </w:p>
    <w:p>
      <w:pPr>
        <w:pStyle w:val="FirstParagraph"/>
      </w:pPr>
      <w:r>
        <w:t xml:space="preserve">The binary outcome was generated in the upstream R data-preparation pipeline</w:t>
      </w:r>
      <w:r>
        <w:t xml:space="preserve"> </w:t>
      </w:r>
      <w:r>
        <w:t xml:space="preserve">independently of the predictors and supplied to the modeling workflow as a</w:t>
      </w:r>
      <w:r>
        <w:t xml:space="preserve"> </w:t>
      </w:r>
      <w:r>
        <w:t xml:space="preserve">fixed label. TRD was assigned when a patient with MDD received at least three</w:t>
      </w:r>
      <w:r>
        <w:t xml:space="preserve"> </w:t>
      </w:r>
      <w:r>
        <w:t xml:space="preserve">distinct antidepressant treatments within 365 days of the index date, the</w:t>
      </w:r>
      <w:r>
        <w:t xml:space="preserve"> </w:t>
      </w:r>
      <w:r>
        <w:t xml:space="preserve">index agent counting as the first. Patients with fewer than three treatments</w:t>
      </w:r>
      <w:r>
        <w:t xml:space="preserve"> </w:t>
      </w:r>
      <w:r>
        <w:t xml:space="preserve">were classified TRD-negative.</w:t>
      </w:r>
    </w:p>
    <w:p>
      <w:pPr>
        <w:pStyle w:val="BodyText"/>
      </w:pPr>
      <w:r>
        <w:t xml:space="preserve">A treatment is a distinct antidepressant agent rather than an order or</w:t>
      </w:r>
      <w:r>
        <w:t xml:space="preserve"> </w:t>
      </w:r>
      <w:r>
        <w:t xml:space="preserve">prescribing event. Addition of a second agent while the current</w:t>
      </w:r>
      <w:r>
        <w:t xml:space="preserve"> </w:t>
      </w:r>
      <w:r>
        <w:t xml:space="preserve">antidepressant continues is augmentation and does not advance the outcome</w:t>
      </w:r>
      <w:r>
        <w:t xml:space="preserve"> </w:t>
      </w:r>
      <w:r>
        <w:t xml:space="preserve">count. Restarting a previously used agent also does not advance it.</w:t>
      </w:r>
      <w:r>
        <w:t xml:space="preserve"> </w:t>
      </w:r>
      <w:r>
        <w:t xml:space="preserve">Augmentation is available as a pre-index predictor where its definition is</w:t>
      </w:r>
      <w:r>
        <w:t xml:space="preserve"> </w:t>
      </w:r>
      <w:r>
        <w:t xml:space="preserve">met.</w:t>
      </w:r>
    </w:p>
    <w:p>
      <w:pPr>
        <w:pStyle w:val="BodyText"/>
      </w:pPr>
      <w:r>
        <w:t xml:space="preserve">The 365-day follow-up requirement ensures that every patient has the</w:t>
      </w:r>
      <w:r>
        <w:t xml:space="preserve"> </w:t>
      </w:r>
      <w:r>
        <w:t xml:space="preserve">observation window needed to determine the label, so a negative label</w:t>
      </w:r>
      <w:r>
        <w:t xml:space="preserve"> </w:t>
      </w:r>
      <w:r>
        <w:t xml:space="preserve">reflects an absence of further antidepressant treatments rather than an</w:t>
      </w:r>
      <w:r>
        <w:t xml:space="preserve"> </w:t>
      </w:r>
      <w:r>
        <w:t xml:space="preserve">absence of observation. It does not guarantee that care delivered outside</w:t>
      </w:r>
      <w:r>
        <w:t xml:space="preserve"> </w:t>
      </w:r>
      <w:r>
        <w:t xml:space="preserve">the health system was captured.</w:t>
      </w:r>
    </w:p>
    <w:p>
      <w:pPr>
        <w:pStyle w:val="BodyText"/>
      </w:pPr>
      <w:r>
        <w:t xml:space="preserve">The label approximates, but does not establish, the consensus</w:t>
      </w:r>
      <w:r>
        <w:t xml:space="preserve"> </w:t>
      </w:r>
      <w:r>
        <w:t xml:space="preserve">characterization of TRD as inadequate response to at least two antidepressant</w:t>
      </w:r>
      <w:r>
        <w:t xml:space="preserve"> </w:t>
      </w:r>
      <w:r>
        <w:t xml:space="preserve">trials of adequate dose and duration [4,5]. Non-response is inferred from</w:t>
      </w:r>
      <w:r>
        <w:t xml:space="preserve"> </w:t>
      </w:r>
      <w:r>
        <w:t xml:space="preserve">switching rather than measured, because standardized symptom severity is not</w:t>
      </w:r>
      <w:r>
        <w:t xml:space="preserve"> </w:t>
      </w:r>
      <w:r>
        <w:t xml:space="preserve">systematically recorded in this extract. Dose and duration adequacy were not</w:t>
      </w:r>
      <w:r>
        <w:t xml:space="preserve"> </w:t>
      </w:r>
      <w:r>
        <w:t xml:space="preserve">verified for the counted post-index treatments. Changes attributable to</w:t>
      </w:r>
      <w:r>
        <w:t xml:space="preserve"> </w:t>
      </w:r>
      <w:r>
        <w:t xml:space="preserve">intolerance, adverse effects, cost, formulary restriction, fragmented care,</w:t>
      </w:r>
      <w:r>
        <w:t xml:space="preserve"> </w:t>
      </w:r>
      <w:r>
        <w:t xml:space="preserve">patient preference, or prescriber practice are therefore counted in the same</w:t>
      </w:r>
      <w:r>
        <w:t xml:space="preserve"> </w:t>
      </w:r>
      <w:r>
        <w:t xml:space="preserve">way as changes attributable to non-response. Switching also depends on</w:t>
      </w:r>
      <w:r>
        <w:t xml:space="preserve"> </w:t>
      </w:r>
      <w:r>
        <w:t xml:space="preserve">continuity, access, insurance, and clinical practice, which may differ across</w:t>
      </w:r>
      <w:r>
        <w:t xml:space="preserve"> </w:t>
      </w:r>
      <w:r>
        <w:t xml:space="preserve">demographic groups [16,17], so the target can encode health-care process and</w:t>
      </w:r>
      <w:r>
        <w:t xml:space="preserve"> </w:t>
      </w:r>
      <w:r>
        <w:t xml:space="preserve">inequity in addition to pharmacologic non-response. The label was not</w:t>
      </w:r>
      <w:r>
        <w:t xml:space="preserve"> </w:t>
      </w:r>
      <w:r>
        <w:t xml:space="preserve">validated against chart review or a symptom-severity criterion. Future</w:t>
      </w:r>
      <w:r>
        <w:t xml:space="preserve"> </w:t>
      </w:r>
      <w:r>
        <w:t xml:space="preserve">validation should compare it with adjudicated treatment histories and symptom</w:t>
      </w:r>
      <w:r>
        <w:t xml:space="preserve"> </w:t>
      </w:r>
      <w:r>
        <w:t xml:space="preserve">trajectories, and should test a higher-specificity outcome requiring</w:t>
      </w:r>
      <w:r>
        <w:t xml:space="preserve"> </w:t>
      </w:r>
      <w:r>
        <w:t xml:space="preserve">documented adequate courses.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2026-09-08T19:38:30Z</dcterms:created>
  <dcterms:modified xsi:type="dcterms:W3CDTF">2026-09-08T19:38:30Z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