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566526ee788d6425d39658c2ad6023faa27413"/>
    <w:p>
      <w:pPr>
        <w:pStyle w:val="Heading1"/>
      </w:pPr>
      <w:r>
        <w:t xml:space="preserve">Supplement M11. Semantic-feature ablation specifications</w:t>
      </w:r>
    </w:p>
    <w:p>
      <w:pPr>
        <w:pStyle w:val="FirstParagraph"/>
      </w:pPr>
      <w:r>
        <w:t xml:space="preserve">The ablation measures direct-input reliance. For each target concept, patient</w:t>
      </w:r>
      <w:r>
        <w:t xml:space="preserve"> </w:t>
      </w:r>
      <w:r>
        <w:t xml:space="preserve">values were reassigned through a random one-to-one cohort-wide donor</w:t>
      </w:r>
      <w:r>
        <w:t xml:space="preserve"> </w:t>
      </w:r>
      <w:r>
        <w:t xml:space="preserve">permutation, which retains the same marginal set of values while severing the</w:t>
      </w:r>
      <w:r>
        <w:t xml:space="preserve"> </w:t>
      </w:r>
      <w:r>
        <w:t xml:space="preserve">association between each patient’s concept value and their outcome.</w:t>
      </w:r>
      <w:r>
        <w:t xml:space="preserve"> </w:t>
      </w:r>
      <w:r>
        <w:t xml:space="preserve">Section-level ablations exchange a complete narrative section. Field-level</w:t>
      </w:r>
      <w:r>
        <w:t xml:space="preserve"> </w:t>
      </w:r>
      <w:r>
        <w:t xml:space="preserve">ablations exchange only the specified field. Perturbed narratives were</w:t>
      </w:r>
      <w:r>
        <w:t xml:space="preserve"> </w:t>
      </w:r>
      <w:r>
        <w:t xml:space="preserve">re-embedded, but the baseline classifiers were kept frozen, so the resulting</w:t>
      </w:r>
      <w:r>
        <w:t xml:space="preserve"> </w:t>
      </w:r>
      <w:r>
        <w:t xml:space="preserve">change in ROC AUC answers whether the fitted embedding pipeline relies on that</w:t>
      </w:r>
      <w:r>
        <w:t xml:space="preserve"> </w:t>
      </w:r>
      <w:r>
        <w:t xml:space="preserve">input, not whether a newly trained model could substitute correlated</w:t>
      </w:r>
      <w:r>
        <w:t xml:space="preserve"> </w:t>
      </w:r>
      <w:r>
        <w:t xml:space="preserve">information. Like every other predictor, all six concepts are measured at or</w:t>
      </w:r>
      <w:r>
        <w:t xml:space="preserve"> </w:t>
      </w:r>
      <w:r>
        <w:t xml:space="preserve">before the index date, and permuting one leaves the remainder of the narrative</w:t>
      </w:r>
      <w:r>
        <w:t xml:space="preserve"> </w:t>
      </w:r>
      <w:r>
        <w:t xml:space="preserve">untouched.</w:t>
      </w:r>
    </w:p>
    <w:p>
      <w:pPr>
        <w:pStyle w:val="BodyText"/>
      </w:pPr>
      <w:r>
        <w:rPr>
          <w:bCs/>
          <w:b/>
        </w:rPr>
        <w:t xml:space="preserve">Psychiatric history</w:t>
      </w:r>
      <w:r>
        <w:t xml:space="preserve"> </w:t>
      </w:r>
      <w:r>
        <w:t xml:space="preserve">(section). Present/absent indicators for anxiety</w:t>
      </w:r>
      <w:r>
        <w:t xml:space="preserve"> </w:t>
      </w:r>
      <w:r>
        <w:t xml:space="preserve">disorder, social anxiety disorder, obsessive-compulsive disorder,</w:t>
      </w:r>
      <w:r>
        <w:t xml:space="preserve"> </w:t>
      </w:r>
      <w:r>
        <w:t xml:space="preserve">posttraumatic stress disorder, adjustment disorder, dysthymia, insomnia, and</w:t>
      </w:r>
      <w:r>
        <w:t xml:space="preserve"> </w:t>
      </w:r>
      <w:r>
        <w:t xml:space="preserve">any substance-use disorder, any suicidal-ideation or suicide-attempt code in</w:t>
      </w:r>
      <w:r>
        <w:t xml:space="preserve"> </w:t>
      </w:r>
      <w:r>
        <w:t xml:space="preserve">the two-year lookback, and named substance categories including alcohol,</w:t>
      </w:r>
      <w:r>
        <w:t xml:space="preserve"> </w:t>
      </w:r>
      <w:r>
        <w:t xml:space="preserve">cannabis, cocaine, nicotine, opioid, and sedative/hypnotic disorders. It</w:t>
      </w:r>
      <w:r>
        <w:t xml:space="preserve"> </w:t>
      </w:r>
      <w:r>
        <w:t xml:space="preserve">carries documented diagnoses rather than treatments.</w:t>
      </w:r>
    </w:p>
    <w:p>
      <w:pPr>
        <w:pStyle w:val="BodyText"/>
      </w:pPr>
      <w:r>
        <w:rPr>
          <w:bCs/>
          <w:b/>
        </w:rPr>
        <w:t xml:space="preserve">Medication burden</w:t>
      </w:r>
      <w:r>
        <w:t xml:space="preserve"> </w:t>
      </w:r>
      <w:r>
        <w:t xml:space="preserve">(section). The count and names of distinct active drug</w:t>
      </w:r>
      <w:r>
        <w:t xml:space="preserve"> </w:t>
      </w:r>
      <w:r>
        <w:t xml:space="preserve">ingredients at the index date across all therapeutic classes, and the count</w:t>
      </w:r>
      <w:r>
        <w:t xml:space="preserve"> </w:t>
      </w:r>
      <w:r>
        <w:t xml:space="preserve">and names of distinct non-steroidal anti-inflammatory ingredients prescribed</w:t>
      </w:r>
      <w:r>
        <w:t xml:space="preserve"> </w:t>
      </w:r>
      <w:r>
        <w:t xml:space="preserve">for at least seven days. It stands in for overall medical complexity and pill</w:t>
      </w:r>
      <w:r>
        <w:t xml:space="preserve"> </w:t>
      </w:r>
      <w:r>
        <w:t xml:space="preserve">burden, not psychiatric treatment specifically.</w:t>
      </w:r>
    </w:p>
    <w:p>
      <w:pPr>
        <w:pStyle w:val="BodyText"/>
      </w:pPr>
      <w:r>
        <w:rPr>
          <w:bCs/>
          <w:b/>
        </w:rPr>
        <w:t xml:space="preserve">Treatment exposure</w:t>
      </w:r>
      <w:r>
        <w:t xml:space="preserve"> </w:t>
      </w:r>
      <w:r>
        <w:t xml:space="preserve">(section). Four things. Pre-index counts of adequate trials for selective serotonin</w:t>
      </w:r>
      <w:r>
        <w:t xml:space="preserve"> </w:t>
      </w:r>
      <w:r>
        <w:t xml:space="preserve">reuptake inhibitors, serotonin-norepinephrine reuptake inhibitors, bupropion,</w:t>
      </w:r>
      <w:r>
        <w:t xml:space="preserve"> </w:t>
      </w:r>
      <w:r>
        <w:t xml:space="preserve">mirtazapine, and vortioxetine, each requiring at least 42 continuous days on</w:t>
      </w:r>
      <w:r>
        <w:t xml:space="preserve"> </w:t>
      </w:r>
      <w:r>
        <w:t xml:space="preserve">the agent. Total benzodiazepine days covered during the lookback. Hypnotic</w:t>
      </w:r>
      <w:r>
        <w:t xml:space="preserve"> </w:t>
      </w:r>
      <w:r>
        <w:t xml:space="preserve">agents prescribed for at least seven days. And augmentation, defined as overlap</w:t>
      </w:r>
      <w:r>
        <w:t xml:space="preserve"> </w:t>
      </w:r>
      <w:r>
        <w:t xml:space="preserve">of an antidepressant with lithium, an antipsychotic, or buspirone for at least</w:t>
      </w:r>
      <w:r>
        <w:t xml:space="preserve"> </w:t>
      </w:r>
      <w:r>
        <w:t xml:space="preserve">14 days. It is distinct from</w:t>
      </w:r>
      <w:r>
        <w:t xml:space="preserve"> </w:t>
      </w:r>
      <w:r>
        <w:t xml:space="preserve">all-class medication burden and from the post-index agents used to construct</w:t>
      </w:r>
      <w:r>
        <w:t xml:space="preserve"> </w:t>
      </w:r>
      <w:r>
        <w:t xml:space="preserve">the outcome.</w:t>
      </w:r>
    </w:p>
    <w:p>
      <w:pPr>
        <w:pStyle w:val="BodyText"/>
      </w:pPr>
      <w:r>
        <w:rPr>
          <w:bCs/>
          <w:b/>
        </w:rPr>
        <w:t xml:space="preserve">Treatment contraindications</w:t>
      </w:r>
      <w:r>
        <w:t xml:space="preserve"> </w:t>
      </w:r>
      <w:r>
        <w:t xml:space="preserve">(section). Seizure disorder, which weighs</w:t>
      </w:r>
      <w:r>
        <w:t xml:space="preserve"> </w:t>
      </w:r>
      <w:r>
        <w:t xml:space="preserve">against bupropion, and uncontrolled hypertension, which weighs against</w:t>
      </w:r>
      <w:r>
        <w:t xml:space="preserve"> </w:t>
      </w:r>
      <w:r>
        <w:t xml:space="preserve">serotonin-norepinephrine reuptake inhibitors. The concept is constraint on</w:t>
      </w:r>
      <w:r>
        <w:t xml:space="preserve"> </w:t>
      </w:r>
      <w:r>
        <w:t xml:space="preserve">escalation options rather than general medical comorbidity, which the</w:t>
      </w:r>
      <w:r>
        <w:t xml:space="preserve"> </w:t>
      </w:r>
      <w:r>
        <w:t xml:space="preserve">narrative reports in a separate section that was not permuted.</w:t>
      </w:r>
    </w:p>
    <w:p>
      <w:pPr>
        <w:pStyle w:val="BodyText"/>
      </w:pPr>
      <w:r>
        <w:rPr>
          <w:bCs/>
          <w:b/>
        </w:rPr>
        <w:t xml:space="preserve">Race/ethnicity</w:t>
      </w:r>
      <w:r>
        <w:t xml:space="preserve"> </w:t>
      </w:r>
      <w:r>
        <w:t xml:space="preserve">(field). The recorded race/ethnicity category, including an</w:t>
      </w:r>
      <w:r>
        <w:t xml:space="preserve"> </w:t>
      </w:r>
      <w:r>
        <w:t xml:space="preserve">explicit unrecorded level, permuted within an otherwise unchanged</w:t>
      </w:r>
      <w:r>
        <w:t xml:space="preserve"> </w:t>
      </w:r>
      <w:r>
        <w:t xml:space="preserve">sociodemographic section. Sex, age, preferred language, marital status,</w:t>
      </w:r>
      <w:r>
        <w:t xml:space="preserve"> </w:t>
      </w:r>
      <w:r>
        <w:t xml:space="preserve">religion, and smoking status were not altered in this ablation.</w:t>
      </w:r>
    </w:p>
    <w:p>
      <w:pPr>
        <w:pStyle w:val="BodyText"/>
      </w:pPr>
      <w:r>
        <w:rPr>
          <w:bCs/>
          <w:b/>
        </w:rPr>
        <w:t xml:space="preserve">Social determinants of health</w:t>
      </w:r>
      <w:r>
        <w:t xml:space="preserve"> </w:t>
      </w:r>
      <w:r>
        <w:t xml:space="preserve">(field). ICD-10 Z-code categories recorded</w:t>
      </w:r>
      <w:r>
        <w:t xml:space="preserve"> </w:t>
      </w:r>
      <w:r>
        <w:t xml:space="preserve">during the lookback: education/literacy, employment, occupational exposure,</w:t>
      </w:r>
      <w:r>
        <w:t xml:space="preserve"> </w:t>
      </w:r>
      <w:r>
        <w:t xml:space="preserve">housing/economic circumstances, social environment, upbringing, primary</w:t>
      </w:r>
      <w:r>
        <w:t xml:space="preserve"> </w:t>
      </w:r>
      <w:r>
        <w:t xml:space="preserve">support group/family circumstances, psychosocial circumstances, and</w:t>
      </w:r>
      <w:r>
        <w:t xml:space="preserve"> </w:t>
      </w:r>
      <w:r>
        <w:t xml:space="preserve">legal/criminal circumstances. The narrative renders</w:t>
      </w:r>
      <w:r>
        <w:t xml:space="preserve"> </w:t>
      </w:r>
      <w:r>
        <w:t xml:space="preserve">“</w:t>
      </w:r>
      <w:r>
        <w:t xml:space="preserve">None Recorded</w:t>
      </w:r>
      <w:r>
        <w:t xml:space="preserve">”</w:t>
      </w:r>
      <w:r>
        <w:t xml:space="preserve"> </w:t>
      </w:r>
      <w:r>
        <w:t xml:space="preserve">when no</w:t>
      </w:r>
      <w:r>
        <w:t xml:space="preserve"> </w:t>
      </w:r>
      <w:r>
        <w:t xml:space="preserve">qualifying code is present. Only this field was permuted.</w:t>
      </w:r>
    </w:p>
    <w:p>
      <w:pPr>
        <w:pStyle w:val="BodyText"/>
      </w:pPr>
      <w:r>
        <w:t xml:space="preserve">The ablation does not determine whether outcome labeling or care processes are</w:t>
      </w:r>
      <w:r>
        <w:t xml:space="preserve"> </w:t>
      </w:r>
      <w:r>
        <w:t xml:space="preserve">equitable, whether a permuted attribute can be reconstructed from correlated</w:t>
      </w:r>
      <w:r>
        <w:t xml:space="preserve"> </w:t>
      </w:r>
      <w:r>
        <w:t xml:space="preserve">inputs, or whether discrimination and calibration differ across subgroups. A</w:t>
      </w:r>
      <w:r>
        <w:t xml:space="preserve"> </w:t>
      </w:r>
      <w:r>
        <w:t xml:space="preserve">negligible race/ethnicity delta, for example, would not exclude the presence</w:t>
      </w:r>
      <w:r>
        <w:t xml:space="preserve"> </w:t>
      </w:r>
      <w:r>
        <w:t xml:space="preserve">of sociodemographic information in utilization, diagnosis, or treatment</w:t>
      </w:r>
      <w:r>
        <w:t xml:space="preserve"> </w:t>
      </w:r>
      <w:r>
        <w:t xml:space="preserve">patterns.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2026-09-08T19:38:31Z</dcterms:created>
  <dcterms:modified xsi:type="dcterms:W3CDTF">2026-09-08T19:38:31Z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