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-m12.-evaluation-coverage"/>
    <w:p>
      <w:pPr>
        <w:pStyle w:val="Heading1"/>
      </w:pPr>
      <w:r>
        <w:t xml:space="preserve">Supplement M12. Evaluation coverage</w:t>
      </w:r>
    </w:p>
    <w:p>
      <w:pPr>
        <w:pStyle w:val="FirstParagraph"/>
      </w:pPr>
      <w:r>
        <w:t xml:space="preserve">Standard machine learning, the cross-encoder comparison, and the semantic</w:t>
      </w:r>
      <w:r>
        <w:t xml:space="preserve"> </w:t>
      </w:r>
      <w:r>
        <w:t xml:space="preserve">ablation all ran on the complete 42,579-patient cohort. All three scored the</w:t>
      </w:r>
      <w:r>
        <w:t xml:space="preserve"> </w:t>
      </w:r>
      <w:r>
        <w:t xml:space="preserve">shared 8,516-patient test set, with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as the primary</w:t>
      </w:r>
      <w:r>
        <w:t xml:space="preserve"> </w:t>
      </w:r>
      <w:r>
        <w:t xml:space="preserve">encoder.</w:t>
      </w:r>
    </w:p>
    <w:p>
      <w:pPr>
        <w:pStyle w:val="BodyText"/>
      </w:pPr>
      <w:r>
        <w:t xml:space="preserve">Retrieval used nearest and random schemes crossed with uniform and</w:t>
      </w:r>
      <w:r>
        <w:t xml:space="preserve"> </w:t>
      </w:r>
      <w:r>
        <w:t xml:space="preserve">cosine weighting, on all four encoders. The retrieval scheme dominated</w:t>
      </w:r>
      <w:r>
        <w:t xml:space="preserve"> </w:t>
      </w:r>
      <w:r>
        <w:t xml:space="preserve">the weighting strategy throughout: the two weightings were nearly</w:t>
      </w:r>
      <w:r>
        <w:t xml:space="preserve"> </w:t>
      </w:r>
      <w:r>
        <w:t xml:space="preserve">indistinguishable under both schemes, while nearest and random separated</w:t>
      </w:r>
      <w:r>
        <w:t xml:space="preserve"> </w:t>
      </w:r>
      <w:r>
        <w:t xml:space="preserve">cleanly (main text, Table 6). That is what establishes that the</w:t>
      </w:r>
      <w:r>
        <w:t xml:space="preserve"> </w:t>
      </w:r>
      <w:r>
        <w:t xml:space="preserve">nearest-versus-random ordering and the shortfall against a trained</w:t>
      </w:r>
      <w:r>
        <w:t xml:space="preserve"> </w:t>
      </w:r>
      <w:r>
        <w:t xml:space="preserve">classifier both generalize across encoders (main text, Table 7).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