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bd365aa195ce459b73ce052f49af3243acea6b"/>
    <w:p>
      <w:pPr>
        <w:pStyle w:val="Heading1"/>
      </w:pPr>
      <w:r>
        <w:t xml:space="preserve">Supplement S9. Subgroup outcome prevalence</w:t>
      </w:r>
    </w:p>
    <w:p>
      <w:pPr>
        <w:pStyle w:val="FirstParagraph"/>
      </w:pPr>
      <w:r>
        <w:t xml:space="preserve">This section reports the</w:t>
      </w:r>
      <w:r>
        <w:t xml:space="preserve"> </w:t>
      </w:r>
      <w:r>
        <w:rPr>
          <w:iCs/>
          <w:i/>
        </w:rPr>
        <w:t xml:space="preserve">within-subgroup prevalence</w:t>
      </w:r>
      <w:r>
        <w:t xml:space="preserve"> </w:t>
      </w:r>
      <w:r>
        <w:t xml:space="preserve">of TRD, meaning the</w:t>
      </w:r>
      <w:r>
        <w:t xml:space="preserve"> </w:t>
      </w:r>
      <w:r>
        <w:t xml:space="preserve">number of TRD-positive patients divided by the total patients in that subgroup. Main-text Table 1 gives column percentages conditioned on TRD status, not row</w:t>
      </w:r>
      <w:r>
        <w:t xml:space="preserve"> </w:t>
      </w:r>
      <w:r>
        <w:t xml:space="preserve">percentages, so the prevalences below were computed from the raw subgroup</w:t>
      </w:r>
      <w:r>
        <w:t xml:space="preserve"> </w:t>
      </w:r>
      <w:r>
        <w:t xml:space="preserve">counts. For instance, the TRD prevalence for the 18-29 age band is 20.6%</w:t>
      </w:r>
      <w:r>
        <w:t xml:space="preserve"> </w:t>
      </w:r>
      <w:r>
        <w:t xml:space="preserve">(1,135 TRD-positive patients out of 5,513).</w:t>
      </w:r>
    </w:p>
    <w:p>
      <w:pPr>
        <w:pStyle w:val="BodyText"/>
      </w:pPr>
      <w:r>
        <w:t xml:space="preserve">TRD prevalence varied modestly across subgroups. By sex it was 18.0% (female)</w:t>
      </w:r>
      <w:r>
        <w:t xml:space="preserve"> </w:t>
      </w:r>
      <w:r>
        <w:t xml:space="preserve">versus 16.2% (male). By age band it followed a clear gradient: the two youngest bands were highest and nearly tied, at 20.6% in 18-29-year-</w:t>
      </w:r>
      <w:r>
        <w:t xml:space="preserve"> </w:t>
      </w:r>
      <w:r>
        <w:t xml:space="preserve">olds (1,135/5,513) and 20.3% in 30-44-year-olds (1,836/9,025). Prevalence then</w:t>
      </w:r>
      <w:r>
        <w:t xml:space="preserve"> </w:t>
      </w:r>
      <w:r>
        <w:t xml:space="preserve">fell through 18.4% at 45-64 (2,445/13,268) to 13.8% in those aged 65 or older</w:t>
      </w:r>
      <w:r>
        <w:t xml:space="preserve"> </w:t>
      </w:r>
      <w:r>
        <w:t xml:space="preserve">(2,039/14,773). Several small social-determinant strata showed elevated but</w:t>
      </w:r>
      <w:r>
        <w:t xml:space="preserve"> </w:t>
      </w:r>
      <w:r>
        <w:t xml:space="preserve">imprecise prevalence (upbringing-related issue 33.0%, legal/criminal issue</w:t>
      </w:r>
      <w:r>
        <w:t xml:space="preserve"> </w:t>
      </w:r>
      <w:r>
        <w:t xml:space="preserve">26.1%, employment issue 24.0%, family/support-group issue 22.9%). Patients</w:t>
      </w:r>
      <w:r>
        <w:t xml:space="preserve"> </w:t>
      </w:r>
      <w:r>
        <w:t xml:space="preserve">with missing race/ethnicity (n = 297) did not show elevated prevalence (15.5%</w:t>
      </w:r>
      <w:r>
        <w:t xml:space="preserve"> </w:t>
      </w:r>
      <w:r>
        <w:t xml:space="preserve">against the 17.5% base rate). Strata this small are why the subgroup performance analysis in Supplement S7</w:t>
      </w:r>
      <w:r>
        <w:t xml:space="preserve"> </w:t>
      </w:r>
      <w:r>
        <w:t xml:space="preserve">declares some groups not estimable. One example is a psychosocial-circumstances</w:t>
      </w:r>
      <w:r>
        <w:t xml:space="preserve"> </w:t>
      </w:r>
      <w:r>
        <w:t xml:space="preserve">flag, with n = 12.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