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6409c2b96723ca87d0f06e1ce253f0b6e2fda90"/>
    <w:p>
      <w:pPr>
        <w:pStyle w:val="Heading1"/>
      </w:pPr>
      <w:r>
        <w:t xml:space="preserve">Supplement S6. Nearest–farthest retrieval fusion</w:t>
      </w:r>
    </w:p>
    <w:p>
      <w:pPr>
        <w:pStyle w:val="FirstParagraph"/>
      </w:pPr>
      <w:r>
        <w:t xml:space="preserve">The main text observes that the farthest-neighbor predictor is not merely poor</w:t>
      </w:r>
      <w:r>
        <w:t xml:space="preserve"> </w:t>
      </w:r>
      <w:r>
        <w:t xml:space="preserve">but</w:t>
      </w:r>
      <w:r>
        <w:t xml:space="preserve"> </w:t>
      </w:r>
      <w:r>
        <w:rPr>
          <w:iCs/>
          <w:i/>
        </w:rPr>
        <w:t xml:space="preserve">informatively</w:t>
      </w:r>
      <w:r>
        <w:t xml:space="preserve"> </w:t>
      </w:r>
      <w:r>
        <w:t xml:space="preserve">poor. Its ROC AUC of 0.434 (main-text Table 6) falls below</w:t>
      </w:r>
      <w:r>
        <w:t xml:space="preserve"> </w:t>
      </w:r>
      <w:r>
        <w:t xml:space="preserve">chance, and its ROC curve bows beneath the chance diagonal rather than tracking</w:t>
      </w:r>
      <w:r>
        <w:t xml:space="preserve"> </w:t>
      </w:r>
      <w:r>
        <w:t xml:space="preserve">it (Figure S6B below). Inverting the predictor therefore recovers a</w:t>
      </w:r>
      <w:r>
        <w:t xml:space="preserve"> </w:t>
      </w:r>
      <w:r>
        <w:t xml:space="preserve">discrimination of ≈0.57. Dissimilarity in the embedding therefore carries exploitable signal of</w:t>
      </w:r>
      <w:r>
        <w:t xml:space="preserve"> </w:t>
      </w:r>
      <w:r>
        <w:t xml:space="preserve">its own. This section reports a direct test of whether that signal is</w:t>
      </w:r>
      <w:r>
        <w:t xml:space="preserve"> </w:t>
      </w:r>
      <w:r>
        <w:rPr>
          <w:iCs/>
          <w:i/>
        </w:rPr>
        <w:t xml:space="preserve">additive</w:t>
      </w:r>
      <w:r>
        <w:t xml:space="preserve">, that</w:t>
      </w:r>
      <w:r>
        <w:t xml:space="preserve"> </w:t>
      </w:r>
      <w:r>
        <w:t xml:space="preserve">is, whether fusing each patient’s nearest-neighborhood risk with their inverted</w:t>
      </w:r>
      <w:r>
        <w:t xml:space="preserve"> </w:t>
      </w:r>
      <w:r>
        <w:t xml:space="preserve">farthest-neighborhood risk improves on nearest retrieval alone. The test is</w:t>
      </w:r>
      <w:r>
        <w:t xml:space="preserve"> </w:t>
      </w:r>
      <w:r>
        <w:t xml:space="preserve">reported here in full rather than in the main text, where it is referred to</w:t>
      </w:r>
      <w:r>
        <w:t xml:space="preserve"> </w:t>
      </w:r>
      <w:r>
        <w:t xml:space="preserve">once from Results,</w:t>
      </w:r>
      <w:r>
        <w:t xml:space="preserve"> </w:t>
      </w:r>
      <w:r>
        <w:rPr>
          <w:iCs/>
          <w:i/>
        </w:rPr>
        <w:t xml:space="preserve">Prediction from retrieved neighbors</w:t>
      </w:r>
      <w:r>
        <w:t xml:space="preserve">.</w:t>
      </w:r>
    </w:p>
    <w:p>
      <w:pPr>
        <w:pStyle w:val="BodyText"/>
      </w:pPr>
      <w:r>
        <w:t xml:space="preserve">Figure S6 shows the two scores that enter that test, each under the uniform</w:t>
      </w:r>
      <w:r>
        <w:t xml:space="preserve"> </w:t>
      </w:r>
      <w:r>
        <w:t xml:space="preserve">weighting used throughout this section. Nearest retrieval reaches 0.593 and</w:t>
      </w:r>
      <w:r>
        <w:t xml:space="preserve"> </w:t>
      </w:r>
      <w:r>
        <w:t xml:space="preserve">farthest retrieval 0.434 (main-text Table 6). The farthest curve does not</w:t>
      </w:r>
      <w:r>
        <w:t xml:space="preserve"> </w:t>
      </w:r>
      <w:r>
        <w:t xml:space="preserve">wander around the chance diagonal the way an uninformative score would. It</w:t>
      </w:r>
      <w:r>
        <w:t xml:space="preserve"> </w:t>
      </w:r>
      <w:r>
        <w:t xml:space="preserve">sits beneath the diagonal across the entire range, displaced from it by about</w:t>
      </w:r>
      <w:r>
        <w:t xml:space="preserve"> </w:t>
      </w:r>
      <w:r>
        <w:t xml:space="preserve">as much as the nearest curve is displaced above it. Inverting it gives</w:t>
      </w:r>
      <w:r>
        <w:t xml:space="preserve"> </w:t>
      </w:r>
      <w:r>
        <w:t xml:space="preserve">1 − 0.434 = 0.566, within 0.03 of nearest retrieval’s own 0.593. The farthest neighbors therefore carry real predictive power once their</w:t>
      </w:r>
      <w:r>
        <w:t xml:space="preserve"> </w:t>
      </w:r>
      <w:r>
        <w:t xml:space="preserve">direction is corrected. That is what makes the fusion question worth asking</w:t>
      </w:r>
      <w:r>
        <w:t xml:space="preserve"> </w:t>
      </w:r>
      <w:r>
        <w:t xml:space="preserve">rather than a formality. The remainder of this section tests whether that power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additional</w:t>
      </w:r>
      <w:r>
        <w:t xml:space="preserve"> </w:t>
      </w:r>
      <w:r>
        <w:t xml:space="preserve">to what nearest retrieval already supplies.</w:t>
      </w:r>
    </w:p>
    <w:p>
      <w:pPr>
        <w:pStyle w:val="BodyText"/>
      </w:pPr>
      <w:r>
        <w:rPr>
          <w:bCs/>
          <w:b/>
        </w:rPr>
        <w:t xml:space="preserve">(A) Nearest retrieval (ROC AUC 0.593)</w:t>
      </w:r>
    </w:p>
    <w:p>
      <w:pPr>
        <w:pStyle w:val="BodyText"/>
      </w:pPr>
      <w:r>
        <w:drawing>
          <wp:inline>
            <wp:extent cx="5486400" cy="296265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roc_curves/roc_curve_NEAREST_UNIFOR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(B) Farthest retrieval (ROC AUC 0.434)</w:t>
      </w:r>
    </w:p>
    <w:p>
      <w:pPr>
        <w:pStyle w:val="BodyText"/>
      </w:pPr>
      <w:r>
        <w:drawing>
          <wp:inline>
            <wp:extent cx="5486400" cy="296265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roc_curves/roc_curve_FARTHEST_UNIFOR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Figure S6.</w:t>
      </w:r>
      <w:r>
        <w:rPr>
          <w:iCs/>
          <w:i/>
        </w:rPr>
        <w:t xml:space="preserve"> </w:t>
      </w:r>
      <w:r>
        <w:rPr>
          <w:iCs/>
          <w:i/>
        </w:rPr>
        <w:t xml:space="preserve">The two component scores entering the fusion: neighbor-weighted</w:t>
      </w:r>
      <w:r>
        <w:rPr>
          <w:iCs/>
          <w:i/>
        </w:rPr>
        <w:t xml:space="preserve"> </w:t>
      </w:r>
      <w:r>
        <w:rPr>
          <w:iCs/>
          <w:i/>
        </w:rPr>
        <w:t xml:space="preserve">ROC for (A) nearest and (B) farthest retrieval under uniform weighting</w:t>
      </w:r>
      <w:r>
        <w:rPr>
          <w:iCs/>
          <w:i/>
        </w:rPr>
        <w:t xml:space="preserve"> </w:t>
      </w:r>
      <w:r>
        <w:rPr>
          <w:iCs/>
          <w:i/>
        </w:rPr>
        <w:t xml:space="preserve">(embedded representation, held-out test set, n = 8,516, K = 50; primary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Qwen3-Embedding-8B</w:t>
      </w:r>
      <w:r>
        <w:rPr>
          <w:iCs/>
          <w:i/>
        </w:rPr>
        <w:t xml:space="preserve"> </w:t>
      </w:r>
      <w:r>
        <w:rPr>
          <w:iCs/>
          <w:i/>
        </w:rPr>
        <w:t xml:space="preserve">encoder). Shaded bands are bootstrap 95% intervals and the</w:t>
      </w:r>
      <w:r>
        <w:rPr>
          <w:iCs/>
          <w:i/>
        </w:rPr>
        <w:t xml:space="preserve"> </w:t>
      </w:r>
      <w:r>
        <w:rPr>
          <w:iCs/>
          <w:i/>
        </w:rPr>
        <w:t xml:space="preserve">dashed diagonal is chance. Uniform weighting is shown because it is the</w:t>
      </w:r>
      <w:r>
        <w:rPr>
          <w:iCs/>
          <w:i/>
        </w:rPr>
        <w:t xml:space="preserve"> </w:t>
      </w:r>
      <w:r>
        <w:rPr>
          <w:iCs/>
          <w:i/>
        </w:rPr>
        <w:t xml:space="preserve">weighting fused here. Under cosine weighting the same contrast gives 0.594 and</w:t>
      </w:r>
      <w:r>
        <w:rPr>
          <w:iCs/>
          <w:i/>
        </w:rPr>
        <w:t xml:space="preserve"> </w:t>
      </w:r>
      <w:r>
        <w:rPr>
          <w:iCs/>
          <w:i/>
        </w:rPr>
        <w:t xml:space="preserve">0.432 (main-text Table 6).</w:t>
      </w:r>
    </w:p>
    <w:bookmarkStart w:id="23" w:name="s6.1-design"/>
    <w:p>
      <w:pPr>
        <w:pStyle w:val="Heading2"/>
      </w:pPr>
      <w:r>
        <w:t xml:space="preserve">S6.1 Design</w:t>
      </w:r>
    </w:p>
    <w:p>
      <w:pPr>
        <w:pStyle w:val="FirstParagraph"/>
      </w:pPr>
      <w:r>
        <w:t xml:space="preserve">The analysis is post hoc and reuses the row-level predictions already written by</w:t>
      </w:r>
      <w:r>
        <w:t xml:space="preserve"> </w:t>
      </w:r>
      <w:r>
        <w:t xml:space="preserve">the neighbor-weighted pipeline, and no new retrieval was performed. It is restricted to the primary</w:t>
      </w:r>
      <w:r>
        <w:t xml:space="preserve"> </w:t>
      </w:r>
      <w:r>
        <w:rPr>
          <w:rStyle w:val="VerbatimChar"/>
        </w:rPr>
        <w:t xml:space="preserve">Qwen3-Embedding-8B</w:t>
      </w:r>
      <w:r>
        <w:t xml:space="preserve"> </w:t>
      </w:r>
      <w:r>
        <w:t xml:space="preserve">encoder, the only</w:t>
      </w:r>
      <w:r>
        <w:t xml:space="preserve"> </w:t>
      </w:r>
      <w:r>
        <w:t xml:space="preserve">configuration for which farthest-scheme scores were computed, and to the 8,516</w:t>
      </w:r>
      <w:r>
        <w:t xml:space="preserve"> </w:t>
      </w:r>
      <w:r>
        <w:t xml:space="preserve">held-out test anchors (1,491 TRD-positive).</w:t>
      </w:r>
    </w:p>
    <w:p>
      <w:pPr>
        <w:pStyle w:val="BodyText"/>
      </w:pPr>
      <w:r>
        <w:t xml:space="preserve">All scores use</w:t>
      </w:r>
      <w:r>
        <w:t xml:space="preserve"> </w:t>
      </w:r>
      <w:r>
        <w:rPr>
          <w:bCs/>
          <w:b/>
        </w:rPr>
        <w:t xml:space="preserve">uniform</w:t>
      </w:r>
      <w:r>
        <w:t xml:space="preserve"> </w:t>
      </w:r>
      <w:r>
        <w:t xml:space="preserve">weighting. Under uniform weighting the predicted risk</w:t>
      </w:r>
      <w:r>
        <w:t xml:space="preserve"> </w:t>
      </w:r>
      <w:r>
        <w:t xml:space="preserve">is the raw TRD rate of the K = 50 geometrically selected neighbors, with no</w:t>
      </w:r>
      <w:r>
        <w:t xml:space="preserve"> </w:t>
      </w:r>
      <w:r>
        <w:t xml:space="preserve">similarity opinion layered on top, so the retrieval geometry under test is the</w:t>
      </w:r>
      <w:r>
        <w:t xml:space="preserve"> </w:t>
      </w:r>
      <w:r>
        <w:t xml:space="preserve">only thing shaping the score. That is the right choice on the farthest scheme in</w:t>
      </w:r>
      <w:r>
        <w:t xml:space="preserve"> </w:t>
      </w:r>
      <w:r>
        <w:t xml:space="preserve">particular, where any similarity weighting is self-contradictory: the scheme</w:t>
      </w:r>
      <w:r>
        <w:t xml:space="preserve"> </w:t>
      </w:r>
      <w:r>
        <w:t xml:space="preserve">selects the most clinically dissimilar patients and a similarity weight then</w:t>
      </w:r>
      <w:r>
        <w:t xml:space="preserve"> </w:t>
      </w:r>
      <w:r>
        <w:t xml:space="preserve">pulls them back toward similarity, corrupting the meaning of the inverted term.</w:t>
      </w:r>
      <w:r>
        <w:t xml:space="preserve"> </w:t>
      </w:r>
      <w:r>
        <w:t xml:space="preserve">Whatever weighting is fused, the nearest-alone baseline uses the same one.</w:t>
      </w:r>
    </w:p>
    <w:p>
      <w:pPr>
        <w:pStyle w:val="BodyText"/>
      </w:pPr>
      <w:r>
        <w:t xml:space="preserve">Writing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</w:rPr>
        <w:t xml:space="preserve">near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</w:rPr>
        <w:t xml:space="preserve">far</w:t>
      </w:r>
      <w:r>
        <w:t xml:space="preserve"> </w:t>
      </w:r>
      <w:r>
        <w:t xml:space="preserve">for a patient’s nearest- and</w:t>
      </w:r>
      <w:r>
        <w:t xml:space="preserve"> </w:t>
      </w:r>
      <w:r>
        <w:t xml:space="preserve">farthest-neighborhood predicted risk, three fusions were compared against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</w:rPr>
        <w:t xml:space="preserve">near</w:t>
      </w:r>
      <w:r>
        <w:t xml:space="preserve"> </w:t>
      </w:r>
      <w:r>
        <w:t xml:space="preserve">alone:</w:t>
      </w:r>
    </w:p>
    <w:p>
      <w:pPr>
        <w:pStyle w:val="BodyText"/>
      </w:pPr>
      <w:r>
        <w:rPr>
          <w:bCs/>
          <w:b/>
        </w:rPr>
        <w:t xml:space="preserve">Variant (a)</w:t>
      </w:r>
      <w:r>
        <w:t xml:space="preserve"> </w:t>
      </w:r>
      <w:r>
        <w:t xml:space="preserve">is a parameter-free equal average of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</w:rPr>
        <w:t xml:space="preserve">near</w:t>
      </w:r>
      <w:r>
        <w:t xml:space="preserve"> </w:t>
      </w:r>
      <w:r>
        <w:t xml:space="preserve">and (1 −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</w:rPr>
        <w:t xml:space="preserve">far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Variant (b)</w:t>
      </w:r>
      <w:r>
        <w:t xml:space="preserve"> </w:t>
      </w:r>
      <w:r>
        <w:t xml:space="preserve">is a convex blend α·</w:t>
      </w:r>
      <w:r>
        <w:rPr>
          <w:iCs/>
          <w:i/>
        </w:rPr>
        <w:t xml:space="preserve">p</w:t>
      </w:r>
      <w:r>
        <w:rPr>
          <w:vertAlign w:val="subscript"/>
        </w:rPr>
        <w:t xml:space="preserve">near</w:t>
      </w:r>
      <w:r>
        <w:t xml:space="preserve"> </w:t>
      </w:r>
      <w:r>
        <w:t xml:space="preserve">+ (1 − α)·(1 −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</w:rPr>
        <w:t xml:space="preserve">far</w:t>
      </w:r>
      <w:r>
        <w:t xml:space="preserve">), with α</w:t>
      </w:r>
      <w:r>
        <w:t xml:space="preserve"> </w:t>
      </w:r>
      <w:r>
        <w:t xml:space="preserve">chosen from a grid of 21 equally spaced values on [0, 1] by maximizing ROC AUC.</w:t>
      </w:r>
    </w:p>
    <w:p>
      <w:pPr>
        <w:pStyle w:val="BodyText"/>
      </w:pPr>
      <w:r>
        <w:rPr>
          <w:bCs/>
          <w:b/>
        </w:rPr>
        <w:t xml:space="preserve">Variant (c)</w:t>
      </w:r>
      <w:r>
        <w:t xml:space="preserve"> </w:t>
      </w:r>
      <w:r>
        <w:t xml:space="preserve">is a logistic stack on the raw pair (</w:t>
      </w:r>
      <w:r>
        <w:rPr>
          <w:iCs/>
          <w:i/>
        </w:rPr>
        <w:t xml:space="preserve">p</w:t>
      </w:r>
      <w:r>
        <w:rPr>
          <w:vertAlign w:val="subscript"/>
        </w:rPr>
        <w:t xml:space="preserve">near</w:t>
      </w:r>
      <w:r>
        <w:t xml:space="preserve">,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</w:rPr>
        <w:t xml:space="preserve">far</w:t>
      </w:r>
      <w:r>
        <w:t xml:space="preserve">). It</w:t>
      </w:r>
      <w:r>
        <w:t xml:space="preserve"> </w:t>
      </w:r>
      <w:r>
        <w:t xml:space="preserve">fits a coefficient on each term plus an intercept, so it is free both to learn</w:t>
      </w:r>
      <w:r>
        <w:t xml:space="preserve"> </w:t>
      </w:r>
      <w:r>
        <w:t xml:space="preserve">the sign on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</w:rPr>
        <w:t xml:space="preserve">far</w:t>
      </w:r>
      <w:r>
        <w:t xml:space="preserve"> </w:t>
      </w:r>
      <w:r>
        <w:t xml:space="preserve">rather than being told to invert it, and to place weights</w:t>
      </w:r>
      <w:r>
        <w:t xml:space="preserve"> </w:t>
      </w:r>
      <w:r>
        <w:t xml:space="preserve">that do not sum to one.</w:t>
      </w:r>
    </w:p>
    <w:bookmarkStart w:id="22" w:name="Xc470c9a6b354998d935c17fabda798fa8549cbd"/>
    <w:p>
      <w:pPr>
        <w:pStyle w:val="Heading3"/>
      </w:pPr>
      <w:r>
        <w:t xml:space="preserve">Estimation and reporting for the tuned variants</w:t>
      </w:r>
    </w:p>
    <w:p>
      <w:pPr>
        <w:pStyle w:val="FirstParagraph"/>
      </w:pPr>
      <w:r>
        <w:t xml:space="preserve">Variants (b) and (c) each estimate parameters from data, which forces a</w:t>
      </w:r>
      <w:r>
        <w:t xml:space="preserve"> </w:t>
      </w:r>
      <w:r>
        <w:t xml:space="preserve">distinction between the parameters one would</w:t>
      </w:r>
      <w:r>
        <w:t xml:space="preserve"> </w:t>
      </w:r>
      <w:r>
        <w:rPr>
          <w:iCs/>
          <w:i/>
        </w:rPr>
        <w:t xml:space="preserve">deploy</w:t>
      </w:r>
      <w:r>
        <w:t xml:space="preserve"> </w:t>
      </w:r>
      <w:r>
        <w:t xml:space="preserve">and the performance one may</w:t>
      </w:r>
      <w:r>
        <w:t xml:space="preserve"> </w:t>
      </w:r>
      <w:r>
        <w:rPr>
          <w:iCs/>
          <w:i/>
        </w:rPr>
        <w:t xml:space="preserve">report</w:t>
      </w:r>
      <w:r>
        <w:t xml:space="preserve">. Both variants are handled identically, on a single stratified 5-fold</w:t>
      </w:r>
      <w:r>
        <w:t xml:space="preserve"> </w:t>
      </w:r>
      <w:r>
        <w:t xml:space="preserve">partition of the 8,516 anchors shared between them, so fold luck cannot confound</w:t>
      </w:r>
      <w:r>
        <w:t xml:space="preserve"> </w:t>
      </w:r>
      <w:r>
        <w:t xml:space="preserve">their comparison.</w:t>
      </w:r>
    </w:p>
    <w:p>
      <w:pPr>
        <w:pStyle w:val="BodyText"/>
      </w:pPr>
      <w:r>
        <w:rPr>
          <w:bCs/>
          <w:b/>
        </w:rPr>
        <w:t xml:space="preserve">Reported performance is computed out of fold.</w:t>
      </w:r>
      <w:r>
        <w:t xml:space="preserve"> </w:t>
      </w:r>
      <w:r>
        <w:t xml:space="preserve">Within each fold, α (variant b)</w:t>
      </w:r>
      <w:r>
        <w:t xml:space="preserve"> </w:t>
      </w:r>
      <w:r>
        <w:t xml:space="preserve">or the logistic coefficients and intercept (variant c) are estimated on the four</w:t>
      </w:r>
      <w:r>
        <w:t xml:space="preserve"> </w:t>
      </w:r>
      <w:r>
        <w:t xml:space="preserve">training folds alone and applied only to the corresponding held-out fold. Every</w:t>
      </w:r>
      <w:r>
        <w:t xml:space="preserve"> </w:t>
      </w:r>
      <w:r>
        <w:t xml:space="preserve">patient’s fused score therefore comes from parameters fitted without that</w:t>
      </w:r>
      <w:r>
        <w:t xml:space="preserve"> </w:t>
      </w:r>
      <w:r>
        <w:t xml:space="preserve">patient, and the ROC AUC in Table S6 is computed once over the pooled held-out</w:t>
      </w:r>
      <w:r>
        <w:t xml:space="preserve"> </w:t>
      </w:r>
      <w:r>
        <w:t xml:space="preserve">predictions rather than as an average of per-fold AUCs. Scoring a tuned parameter on the same data used to choose it is optimistically</w:t>
      </w:r>
      <w:r>
        <w:t xml:space="preserve"> </w:t>
      </w:r>
      <w:r>
        <w:t xml:space="preserve">biased, and the magnitude here is not negligible. The single α maximizing ROC AUC</w:t>
      </w:r>
      <w:r>
        <w:t xml:space="preserve"> </w:t>
      </w:r>
      <w:r>
        <w:t xml:space="preserve">across all 8,516 anchors attains 0.600 in sample against the 0.594 obtained out</w:t>
      </w:r>
      <w:r>
        <w:t xml:space="preserve"> </w:t>
      </w:r>
      <w:r>
        <w:t xml:space="preserve">of fold. That inflation is roughly the size of the entire effect under test,</w:t>
      </w:r>
      <w:r>
        <w:t xml:space="preserve"> </w:t>
      </w:r>
      <w:r>
        <w:t xml:space="preserve">and enough on its own to manufacture an apparent gain over the nearest-alone</w:t>
      </w:r>
      <w:r>
        <w:t xml:space="preserve"> </w:t>
      </w:r>
      <w:r>
        <w:t xml:space="preserve">baseline. Embedding every</w:t>
      </w:r>
      <w:r>
        <w:t xml:space="preserve"> </w:t>
      </w:r>
      <w:r>
        <w:t xml:space="preserve">fitted step inside the resampling loop, rather than reporting the score of an</w:t>
      </w:r>
      <w:r>
        <w:t xml:space="preserve"> </w:t>
      </w:r>
      <w:r>
        <w:t xml:space="preserve">already-tuned parameter, follows Varma and Simon (</w:t>
      </w:r>
      <w:r>
        <w:rPr>
          <w:iCs/>
          <w:i/>
        </w:rPr>
        <w:t xml:space="preserve">BMC Bioinformatics</w:t>
      </w:r>
      <w:r>
        <w:t xml:space="preserve"> </w:t>
      </w:r>
      <w:r>
        <w:t xml:space="preserve">2006;7:91). They show that a cross-validation error computed for a classifier</w:t>
      </w:r>
      <w:r>
        <w:t xml:space="preserve"> </w:t>
      </w:r>
      <w:r>
        <w:t xml:space="preserve">“</w:t>
      </w:r>
      <w:r>
        <w:t xml:space="preserve">that has itself been tuned using CV gives a significantly biased estimate of the</w:t>
      </w:r>
      <w:r>
        <w:t xml:space="preserve"> </w:t>
      </w:r>
      <w:r>
        <w:t xml:space="preserve">true error.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Deployable parameters are estimated separately, on all 8,516 anchors</w:t>
      </w:r>
      <w:r>
        <w:t xml:space="preserve">: α = 0.65</w:t>
      </w:r>
      <w:r>
        <w:t xml:space="preserve"> </w:t>
      </w:r>
      <w:r>
        <w:t xml:space="preserve">for variant (b), and coefficients +3.49 on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</w:rPr>
        <w:t xml:space="preserve">near</w:t>
      </w:r>
      <w:r>
        <w:t xml:space="preserve"> </w:t>
      </w:r>
      <w:r>
        <w:t xml:space="preserve">and −2.00 on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</w:rPr>
        <w:t xml:space="preserve">far</w:t>
      </w:r>
      <w:r>
        <w:t xml:space="preserve"> </w:t>
      </w:r>
      <w:r>
        <w:t xml:space="preserve">with an</w:t>
      </w:r>
      <w:r>
        <w:t xml:space="preserve"> </w:t>
      </w:r>
      <w:r>
        <w:t xml:space="preserve">intercept of −1.80 for variant (c). These are the values that would be applied to</w:t>
      </w:r>
      <w:r>
        <w:t xml:space="preserve"> </w:t>
      </w:r>
      <w:r>
        <w:t xml:space="preserve">a new patient. The intercept is not incidental: the two coefficients alone fix the</w:t>
      </w:r>
      <w:r>
        <w:t xml:space="preserve"> </w:t>
      </w:r>
      <w:r>
        <w:t xml:space="preserve">ranking, and so the discrimination reported for variant (c), but the intercept</w:t>
      </w:r>
      <w:r>
        <w:t xml:space="preserve"> </w:t>
      </w:r>
      <w:r>
        <w:t xml:space="preserve">sets the level of the predicted probabilities and is therefore what its</w:t>
      </w:r>
      <w:r>
        <w:t xml:space="preserve"> </w:t>
      </w:r>
      <w:r>
        <w:t xml:space="preserve">calibration advantage in Table S6 rests on. The out-of-fold ROC AUC is an estimate</w:t>
      </w:r>
      <w:r>
        <w:t xml:space="preserve"> </w:t>
      </w:r>
      <w:r>
        <w:rPr>
          <w:iCs/>
          <w:i/>
        </w:rPr>
        <w:t xml:space="preserve">of</w:t>
      </w:r>
      <w:r>
        <w:t xml:space="preserve"> </w:t>
      </w:r>
      <w:r>
        <w:t xml:space="preserve">this fitted model. The cross-validated</w:t>
      </w:r>
      <w:r>
        <w:t xml:space="preserve"> </w:t>
      </w:r>
      <w:r>
        <w:t xml:space="preserve">error estimates the true error of the model that the same procedure returns</w:t>
      </w:r>
      <w:r>
        <w:t xml:space="preserve"> </w:t>
      </w:r>
      <w:r>
        <w:t xml:space="preserve">when trained on the whole dataset. Two caveats attach. First, the out-of-fold estimate is mildly conservative, because each fold’s</w:t>
      </w:r>
      <w:r>
        <w:t xml:space="preserve"> </w:t>
      </w:r>
      <w:r>
        <w:t xml:space="preserve">parameters are chosen on four-fifths of the anchors rather than all of them.</w:t>
      </w:r>
      <w:r>
        <w:t xml:space="preserve"> </w:t>
      </w:r>
      <w:r>
        <w:t xml:space="preserve">This bias is second-order at this sample size and runs opposite to the</w:t>
      </w:r>
      <w:r>
        <w:t xml:space="preserve"> </w:t>
      </w:r>
      <w:r>
        <w:t xml:space="preserve">selection bias it removes, so the reported figure should not be read as a lower</w:t>
      </w:r>
      <w:r>
        <w:t xml:space="preserve"> </w:t>
      </w:r>
      <w:r>
        <w:t xml:space="preserve">bound with the in-sample value as the truth.</w:t>
      </w:r>
      <w:r>
        <w:t xml:space="preserve"> </w:t>
      </w:r>
      <w:r>
        <w:t xml:space="preserve">Second, these deployment parameters are themselves selected on the held-out test</w:t>
      </w:r>
      <w:r>
        <w:t xml:space="preserve"> </w:t>
      </w:r>
      <w:r>
        <w:t xml:space="preserve">anchors and are accordingly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independently validated. They are reported for</w:t>
      </w:r>
      <w:r>
        <w:t xml:space="preserve"> </w:t>
      </w:r>
      <w:r>
        <w:t xml:space="preserve">transparency, and nothing in the conclusion of this section rests on them, the</w:t>
      </w:r>
      <w:r>
        <w:t xml:space="preserve"> </w:t>
      </w:r>
      <w:r>
        <w:t xml:space="preserve">result being null.</w:t>
      </w:r>
    </w:p>
    <w:p>
      <w:pPr>
        <w:pStyle w:val="BodyText"/>
      </w:pPr>
      <w:r>
        <w:t xml:space="preserve">The verdict statistic is a</w:t>
      </w:r>
      <w:r>
        <w:t xml:space="preserve"> </w:t>
      </w:r>
      <w:r>
        <w:rPr>
          <w:bCs/>
          <w:b/>
        </w:rPr>
        <w:t xml:space="preserve">paired</w:t>
      </w:r>
      <w:r>
        <w:t xml:space="preserve"> </w:t>
      </w:r>
      <w:r>
        <w:t xml:space="preserve">bootstrap on the difference in ROC AUC.</w:t>
      </w:r>
      <w:r>
        <w:t xml:space="preserve"> </w:t>
      </w:r>
      <w:r>
        <w:t xml:space="preserve">A single 1,000 × 8,516 matrix of resampled patient indices is drawn once and</w:t>
      </w:r>
      <w:r>
        <w:t xml:space="preserve"> </w:t>
      </w:r>
      <w:r>
        <w:t xml:space="preserve">applied to the baseline and the variant alike, so every draw perturbs both</w:t>
      </w:r>
      <w:r>
        <w:t xml:space="preserve"> </w:t>
      </w:r>
      <w:r>
        <w:t xml:space="preserve">scores on the same patients. The reported interval spans the 2.5th to 97.5th</w:t>
      </w:r>
      <w:r>
        <w:t xml:space="preserve"> </w:t>
      </w:r>
      <w:r>
        <w:t xml:space="preserve">percentiles of the resulting difference distribution. Pairing is essential here: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</w:rPr>
        <w:t xml:space="preserve">near</w:t>
      </w:r>
      <w:r>
        <w:t xml:space="preserve"> </w:t>
      </w:r>
      <w:r>
        <w:t xml:space="preserve">and (1 −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</w:rPr>
        <w:t xml:space="preserve">far</w:t>
      </w:r>
      <w:r>
        <w:t xml:space="preserve">) are positively correlated by construction, and</w:t>
      </w:r>
      <w:r>
        <w:t xml:space="preserve"> </w:t>
      </w:r>
      <w:r>
        <w:t xml:space="preserve">comparing their marginal confidence intervals for overlap is a substantially</w:t>
      </w:r>
      <w:r>
        <w:t xml:space="preserve"> </w:t>
      </w:r>
      <w:r>
        <w:t xml:space="preserve">weaker test.</w:t>
      </w:r>
    </w:p>
    <w:bookmarkEnd w:id="22"/>
    <w:bookmarkEnd w:id="23"/>
    <w:bookmarkStart w:id="25" w:name="s6.2-results"/>
    <w:p>
      <w:pPr>
        <w:pStyle w:val="Heading2"/>
      </w:pPr>
      <w:r>
        <w:t xml:space="preserve">S6.2 Results</w:t>
      </w:r>
    </w:p>
    <w:p>
      <w:pPr>
        <w:pStyle w:val="FirstParagraph"/>
      </w:pPr>
      <w:r>
        <w:t xml:space="preserve">No fusion improved discrimination (Table S6). All three point gains were under 0.006 ROC AUC, and every 95% interval on the</w:t>
      </w:r>
      <w:r>
        <w:t xml:space="preserve"> </w:t>
      </w:r>
      <w:r>
        <w:t xml:space="preserve">paired difference included zero. That includes the largest, variant (c) at</w:t>
      </w:r>
      <w:r>
        <w:t xml:space="preserve"> </w:t>
      </w:r>
      <w:r>
        <w:t xml:space="preserve">+0.0059 (−0.0008 to +0.0122). The four ROC</w:t>
      </w:r>
      <w:r>
        <w:t xml:space="preserve"> </w:t>
      </w:r>
      <w:r>
        <w:t xml:space="preserve">curves are visually indistinguishable (Figure S7).</w:t>
      </w:r>
    </w:p>
    <w:p>
      <w:pPr>
        <w:pStyle w:val="BodyText"/>
      </w:pPr>
      <w:r>
        <w:rPr>
          <w:bCs/>
          <w:b/>
          <w:iCs/>
          <w:i/>
        </w:rPr>
        <w:t xml:space="preserve">Table S6.</w:t>
      </w:r>
      <w:r>
        <w:rPr>
          <w:iCs/>
          <w:i/>
        </w:rPr>
        <w:t xml:space="preserve"> </w:t>
      </w:r>
      <w:r>
        <w:rPr>
          <w:iCs/>
          <w:i/>
        </w:rPr>
        <w:t xml:space="preserve">Nearest-alone baseline versus three nearest–farthest fusions</w:t>
      </w:r>
      <w:r>
        <w:rPr>
          <w:iCs/>
          <w:i/>
        </w:rPr>
        <w:t xml:space="preserve"> </w:t>
      </w:r>
      <w:r>
        <w:rPr>
          <w:iCs/>
          <w:i/>
        </w:rPr>
        <w:t xml:space="preserve">(uniform weighting, embedded representation, held-out test set, n = 8,516;</w:t>
      </w:r>
      <w:r>
        <w:rPr>
          <w:iCs/>
          <w:i/>
        </w:rPr>
        <w:t xml:space="preserve"> </w:t>
      </w:r>
      <w:r>
        <w:rPr>
          <w:iCs/>
          <w:i/>
        </w:rPr>
        <w:t xml:space="preserve">primary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Qwen3-Embedding-8B</w:t>
      </w:r>
      <w:r>
        <w:rPr>
          <w:iCs/>
          <w:i/>
        </w:rPr>
        <w:t xml:space="preserve"> </w:t>
      </w:r>
      <w:r>
        <w:rPr>
          <w:iCs/>
          <w:i/>
        </w:rPr>
        <w:t xml:space="preserve">encoder). Δ is the difference in ROC AUC against</w:t>
      </w:r>
      <w:r>
        <w:rPr>
          <w:iCs/>
          <w:i/>
        </w:rPr>
        <w:t xml:space="preserve"> </w:t>
      </w:r>
      <w:r>
        <w:rPr>
          <w:iCs/>
          <w:i/>
        </w:rPr>
        <w:t xml:space="preserve">the nearest-alone baseline with a paired bootstrap 95% interval. WCE = weighted</w:t>
      </w:r>
      <w:r>
        <w:rPr>
          <w:iCs/>
          <w:i/>
        </w:rPr>
        <w:t xml:space="preserve"> </w:t>
      </w:r>
      <w:r>
        <w:rPr>
          <w:iCs/>
          <w:i/>
        </w:rPr>
        <w:t xml:space="preserve">calibration error. Lower is better for Brier and WCE. Farthest retrieval alone</w:t>
      </w:r>
      <w:r>
        <w:rPr>
          <w:iCs/>
          <w:i/>
        </w:rPr>
        <w:t xml:space="preserve"> </w:t>
      </w:r>
      <w:r>
        <w:rPr>
          <w:iCs/>
          <w:i/>
        </w:rPr>
        <w:t xml:space="preserve">scores 0.434 (main-text Table 6).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c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p>
            <w:pPr>
              <w:pStyle w:val="Compact"/>
              <w:jc w:val="right"/>
            </w:pPr>
            <w:r>
              <w:t xml:space="preserve">ROC AUC (95% CI)</w:t>
            </w:r>
          </w:p>
        </w:tc>
        <w:tc>
          <w:p>
            <w:pPr>
              <w:pStyle w:val="Compact"/>
              <w:jc w:val="right"/>
            </w:pPr>
            <w:r>
              <w:t xml:space="preserve">Δ vs nearest alone (95% CI)</w:t>
            </w:r>
          </w:p>
        </w:tc>
        <w:tc>
          <w:p>
            <w:pPr>
              <w:pStyle w:val="Compact"/>
              <w:jc w:val="right"/>
            </w:pPr>
            <w:r>
              <w:t xml:space="preserve">AUPRC</w:t>
            </w:r>
          </w:p>
        </w:tc>
        <w:tc>
          <w:p>
            <w:pPr>
              <w:pStyle w:val="Compact"/>
              <w:jc w:val="right"/>
            </w:pPr>
            <w:r>
              <w:t xml:space="preserve">Brier</w:t>
            </w:r>
          </w:p>
        </w:tc>
        <w:tc>
          <w:p>
            <w:pPr>
              <w:pStyle w:val="Compact"/>
              <w:jc w:val="right"/>
            </w:pPr>
            <w:r>
              <w:t xml:space="preserve">WCE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Nearest alone</w:t>
            </w:r>
          </w:p>
        </w:tc>
        <w:tc>
          <w:p>
            <w:pPr>
              <w:pStyle w:val="Compact"/>
              <w:jc w:val="right"/>
            </w:pPr>
            <w:r>
              <w:t xml:space="preserve">0.593 (0.578–0.609)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0.253</w:t>
            </w:r>
          </w:p>
        </w:tc>
        <w:tc>
          <w:p>
            <w:pPr>
              <w:pStyle w:val="Compact"/>
              <w:jc w:val="right"/>
            </w:pPr>
            <w:r>
              <w:t xml:space="preserve">0.142</w:t>
            </w:r>
          </w:p>
        </w:tc>
        <w:tc>
          <w:p>
            <w:pPr>
              <w:pStyle w:val="Compact"/>
              <w:jc w:val="right"/>
            </w:pPr>
            <w:r>
              <w:t xml:space="preserve">0.026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(a) Equal average</w:t>
            </w:r>
          </w:p>
        </w:tc>
        <w:tc>
          <w:p>
            <w:pPr>
              <w:pStyle w:val="Compact"/>
              <w:jc w:val="right"/>
            </w:pPr>
            <w:r>
              <w:t xml:space="preserve">0.599 (0.583–0.615)</w:t>
            </w:r>
          </w:p>
        </w:tc>
        <w:tc>
          <w:p>
            <w:pPr>
              <w:pStyle w:val="Compact"/>
              <w:jc w:val="right"/>
            </w:pPr>
            <w:r>
              <w:t xml:space="preserve">+0.0051 (−0.0054 to +0.0149)</w:t>
            </w:r>
          </w:p>
        </w:tc>
        <w:tc>
          <w:p>
            <w:pPr>
              <w:pStyle w:val="Compact"/>
              <w:jc w:val="right"/>
            </w:pPr>
            <w:r>
              <w:t xml:space="preserve">0.254</w:t>
            </w:r>
          </w:p>
        </w:tc>
        <w:tc>
          <w:p>
            <w:pPr>
              <w:pStyle w:val="Compact"/>
              <w:jc w:val="right"/>
            </w:pPr>
            <w:r>
              <w:t xml:space="preserve">0.241</w:t>
            </w:r>
          </w:p>
        </w:tc>
        <w:tc>
          <w:p>
            <w:pPr>
              <w:pStyle w:val="Compact"/>
              <w:jc w:val="right"/>
            </w:pPr>
            <w:r>
              <w:t xml:space="preserve">0.316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(b) CV-tuned blend</w:t>
            </w:r>
          </w:p>
        </w:tc>
        <w:tc>
          <w:p>
            <w:pPr>
              <w:pStyle w:val="Compact"/>
              <w:jc w:val="right"/>
            </w:pPr>
            <w:r>
              <w:t xml:space="preserve">0.594 (0.579–0.610)</w:t>
            </w:r>
          </w:p>
        </w:tc>
        <w:tc>
          <w:p>
            <w:pPr>
              <w:pStyle w:val="Compact"/>
              <w:jc w:val="right"/>
            </w:pPr>
            <w:r>
              <w:t xml:space="preserve">+0.0004 (−0.0081 to +0.0087)</w:t>
            </w:r>
          </w:p>
        </w:tc>
        <w:tc>
          <w:p>
            <w:pPr>
              <w:pStyle w:val="Compact"/>
              <w:jc w:val="right"/>
            </w:pPr>
            <w:r>
              <w:t xml:space="preserve">0.249</w:t>
            </w:r>
          </w:p>
        </w:tc>
        <w:tc>
          <w:p>
            <w:pPr>
              <w:pStyle w:val="Compact"/>
              <w:jc w:val="right"/>
            </w:pPr>
            <w:r>
              <w:t xml:space="preserve">0.187</w:t>
            </w:r>
          </w:p>
        </w:tc>
        <w:tc>
          <w:p>
            <w:pPr>
              <w:pStyle w:val="Compact"/>
              <w:jc w:val="right"/>
            </w:pPr>
            <w:r>
              <w:t xml:space="preserve">0.213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(c) Logistic stack</w:t>
            </w:r>
          </w:p>
        </w:tc>
        <w:tc>
          <w:p>
            <w:pPr>
              <w:pStyle w:val="Compact"/>
              <w:jc w:val="right"/>
            </w:pPr>
            <w:r>
              <w:t xml:space="preserve">0.599 (0.584–0.615)</w:t>
            </w:r>
          </w:p>
        </w:tc>
        <w:tc>
          <w:p>
            <w:pPr>
              <w:pStyle w:val="Compact"/>
              <w:jc w:val="right"/>
            </w:pPr>
            <w:r>
              <w:t xml:space="preserve">+0.0059 (−0.0008 to +0.0122)</w:t>
            </w:r>
          </w:p>
        </w:tc>
        <w:tc>
          <w:p>
            <w:pPr>
              <w:pStyle w:val="Compact"/>
              <w:jc w:val="right"/>
            </w:pPr>
            <w:r>
              <w:t xml:space="preserve">0.256</w:t>
            </w:r>
          </w:p>
        </w:tc>
        <w:tc>
          <w:p>
            <w:pPr>
              <w:pStyle w:val="Compact"/>
              <w:jc w:val="right"/>
            </w:pPr>
            <w:r>
              <w:t xml:space="preserve">0.141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</w:tbl>
    <w:p>
      <w:pPr>
        <w:pStyle w:val="BodyText"/>
      </w:pPr>
      <w:r>
        <w:drawing>
          <wp:inline>
            <wp:extent cx="5486400" cy="296265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roc_curves/roc_curve_fusion_overla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Figure S7.</w:t>
      </w:r>
      <w:r>
        <w:rPr>
          <w:iCs/>
          <w:i/>
        </w:rPr>
        <w:t xml:space="preserve"> </w:t>
      </w:r>
      <w:r>
        <w:rPr>
          <w:iCs/>
          <w:i/>
        </w:rPr>
        <w:t xml:space="preserve">ROC curves for the nearest-alone baseline and the three fusion</w:t>
      </w:r>
      <w:r>
        <w:rPr>
          <w:iCs/>
          <w:i/>
        </w:rPr>
        <w:t xml:space="preserve"> </w:t>
      </w:r>
      <w:r>
        <w:rPr>
          <w:iCs/>
          <w:i/>
        </w:rPr>
        <w:t xml:space="preserve">variants (uniform weighting, embedded representation, held-out test set; primary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Qwen3-Embedding-8B</w:t>
      </w:r>
      <w:r>
        <w:rPr>
          <w:iCs/>
          <w:i/>
        </w:rPr>
        <w:t xml:space="preserve"> </w:t>
      </w:r>
      <w:r>
        <w:rPr>
          <w:iCs/>
          <w:i/>
        </w:rPr>
        <w:t xml:space="preserve">encoder). The four curves are visually indistinguishable.</w:t>
      </w:r>
      <w:r>
        <w:rPr>
          <w:iCs/>
          <w:i/>
        </w:rPr>
        <w:t xml:space="preserve"> </w:t>
      </w:r>
      <w:r>
        <w:rPr>
          <w:iCs/>
          <w:i/>
        </w:rPr>
        <w:t xml:space="preserve">Legend values are ROC AUC with the bootstrap 95% interval. The dashed diagonal</w:t>
      </w:r>
      <w:r>
        <w:rPr>
          <w:iCs/>
          <w:i/>
        </w:rPr>
        <w:t xml:space="preserve"> </w:t>
      </w:r>
      <w:r>
        <w:rPr>
          <w:iCs/>
          <w:i/>
        </w:rPr>
        <w:t xml:space="preserve">is chance.</w:t>
      </w:r>
    </w:p>
    <w:p>
      <w:pPr>
        <w:pStyle w:val="BodyText"/>
      </w:pPr>
      <w:r>
        <w:t xml:space="preserve">This null is not a power failure. The paired intervals are roughly ±0.006 wide,</w:t>
      </w:r>
      <w:r>
        <w:t xml:space="preserve"> </w:t>
      </w:r>
      <w:r>
        <w:t xml:space="preserve">about three times tighter than the ±0.016 marginal intervals on the individual</w:t>
      </w:r>
      <w:r>
        <w:t xml:space="preserve"> </w:t>
      </w:r>
      <w:r>
        <w:t xml:space="preserve">AUCs, so it is the</w:t>
      </w:r>
      <w:r>
        <w:t xml:space="preserve"> </w:t>
      </w:r>
      <w:r>
        <w:rPr>
          <w:iCs/>
          <w:i/>
        </w:rPr>
        <w:t xml:space="preserve">stronger</w:t>
      </w:r>
      <w:r>
        <w:t xml:space="preserve"> </w:t>
      </w:r>
      <w:r>
        <w:t xml:space="preserve">test that returns the null rather than an</w:t>
      </w:r>
      <w:r>
        <w:t xml:space="preserve"> </w:t>
      </w:r>
      <w:r>
        <w:t xml:space="preserve">underpowered one that cannot distinguish the scores.</w:t>
      </w:r>
    </w:p>
    <w:p>
      <w:pPr>
        <w:pStyle w:val="BodyText"/>
      </w:pPr>
      <w:r>
        <w:t xml:space="preserve">Two secondary observations are worth recording. First, the logistic stack</w:t>
      </w:r>
      <w:r>
        <w:t xml:space="preserve"> </w:t>
      </w:r>
      <w:r>
        <w:t xml:space="preserve">recovered the inversion unprompted: it assigned a coefficient of +3.49 to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</w:rPr>
        <w:t xml:space="preserve">near</w:t>
      </w:r>
      <w:r>
        <w:t xml:space="preserve"> </w:t>
      </w:r>
      <w:r>
        <w:t xml:space="preserve">and −2.00 to the raw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</w:rPr>
        <w:t xml:space="preserve">far</w:t>
      </w:r>
      <w:r>
        <w:t xml:space="preserve">, independently rediscovering that</w:t>
      </w:r>
      <w:r>
        <w:t xml:space="preserve"> </w:t>
      </w:r>
      <w:r>
        <w:t xml:space="preserve">farthest-neighborhood risk runs backwards. The inverted signal is therefore real, and its direction is learnable from the</w:t>
      </w:r>
      <w:r>
        <w:t xml:space="preserve"> </w:t>
      </w:r>
      <w:r>
        <w:t xml:space="preserve">data alone. But it is the same geometry restated, which is why restating it</w:t>
      </w:r>
      <w:r>
        <w:t xml:space="preserve"> </w:t>
      </w:r>
      <w:r>
        <w:t xml:space="preserve">adds nothing. The two tuned variants also</w:t>
      </w:r>
      <w:r>
        <w:t xml:space="preserve"> </w:t>
      </w:r>
      <w:r>
        <w:t xml:space="preserve">agree on the mixing direction despite optimizing different objectives:</w:t>
      </w:r>
      <w:r>
        <w:t xml:space="preserve"> </w:t>
      </w:r>
      <w:r>
        <w:t xml:space="preserve">normalizing the stack’s coefficients gives 3.49 / (3.49 + 2.00) = 0.64, against</w:t>
      </w:r>
      <w:r>
        <w:t xml:space="preserve"> </w:t>
      </w:r>
      <w:r>
        <w:t xml:space="preserve">the blend’s deployable α = 0.65 and per-fold range of 0.60–0.70. A rank-based</w:t>
      </w:r>
      <w:r>
        <w:t xml:space="preserve"> </w:t>
      </w:r>
      <w:r>
        <w:t xml:space="preserve">grid search on ROC AUC and a likelihood-based logistic fit independently converge on</w:t>
      </w:r>
      <w:r>
        <w:t xml:space="preserve"> </w:t>
      </w:r>
      <w:r>
        <w:t xml:space="preserve">the same weighting, which is stronger evidence that the direction is a property</w:t>
      </w:r>
      <w:r>
        <w:t xml:space="preserve"> </w:t>
      </w:r>
      <w:r>
        <w:t xml:space="preserve">of the data than either result alone. Second, tuning did not help:</w:t>
      </w:r>
      <w:r>
        <w:t xml:space="preserve"> </w:t>
      </w:r>
      <w:r>
        <w:t xml:space="preserve">the cross-validated blend (b) placed last of the three, below the parameter-free</w:t>
      </w:r>
      <w:r>
        <w:t xml:space="preserve"> </w:t>
      </w:r>
      <w:r>
        <w:t xml:space="preserve">average, despite stable per-fold weights (α = 0.60–0.70). Pooling out-of-fold</w:t>
      </w:r>
      <w:r>
        <w:t xml:space="preserve"> </w:t>
      </w:r>
      <w:r>
        <w:t xml:space="preserve">scores produced under five slightly different weightings appears to cost more</w:t>
      </w:r>
      <w:r>
        <w:t xml:space="preserve"> </w:t>
      </w:r>
      <w:r>
        <w:t xml:space="preserve">than the tuning gains.</w:t>
      </w:r>
    </w:p>
    <w:p>
      <w:pPr>
        <w:pStyle w:val="BodyText"/>
      </w:pPr>
      <w:r>
        <w:t xml:space="preserve">Calibration separates the variants even though discrimination does not. The parameter-free fusion (a) and the tuned blend (b) markedly degrade</w:t>
      </w:r>
      <w:r>
        <w:t xml:space="preserve"> </w:t>
      </w:r>
      <w:r>
        <w:t xml:space="preserve">calibration relative to nearest alone. Brier rises from 0.142 to 0.241 and</w:t>
      </w:r>
      <w:r>
        <w:t xml:space="preserve"> </w:t>
      </w:r>
      <w:r>
        <w:t xml:space="preserve">0.187 respectively, and weighted calibration error from 0.026 to 0.316 and</w:t>
      </w:r>
      <w:r>
        <w:t xml:space="preserve"> </w:t>
      </w:r>
      <w:r>
        <w:t xml:space="preserve">0.213. The cause is that (1 −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</w:rPr>
        <w:t xml:space="preserve">far</w:t>
      </w:r>
      <w:r>
        <w:t xml:space="preserve">) is not itself calibrated to the</w:t>
      </w:r>
      <w:r>
        <w:t xml:space="preserve"> </w:t>
      </w:r>
      <w:r>
        <w:t xml:space="preserve">patient’s risk. It is</w:t>
      </w:r>
      <w:r>
        <w:t xml:space="preserve"> </w:t>
      </w:r>
      <w:r>
        <w:t xml:space="preserve">anti-correlated with the outcome by construction, which makes it informative for</w:t>
      </w:r>
      <w:r>
        <w:t xml:space="preserve"> </w:t>
      </w:r>
      <w:r>
        <w:rPr>
          <w:iCs/>
          <w:i/>
        </w:rPr>
        <w:t xml:space="preserve">ranking</w:t>
      </w:r>
      <w:r>
        <w:t xml:space="preserve"> </w:t>
      </w:r>
      <w:r>
        <w:t xml:space="preserve">while leaving its scale arbitrary, so averaging it into a</w:t>
      </w:r>
      <w:r>
        <w:t xml:space="preserve"> </w:t>
      </w:r>
      <w:r>
        <w:t xml:space="preserve">reasonably calibrated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</w:rPr>
        <w:t xml:space="preserve">near</w:t>
      </w:r>
      <w:r>
        <w:t xml:space="preserve"> </w:t>
      </w:r>
      <w:r>
        <w:t xml:space="preserve">preserves ordering but distorts the scale. The resulting score is still a risk estimate in the sense of being a number in</w:t>
      </w:r>
      <w:r>
        <w:t xml:space="preserve"> </w:t>
      </w:r>
      <w:r>
        <w:t xml:space="preserve">[0, 1], just a poorly calibrated one, which is why the remedy is recalibration</w:t>
      </w:r>
      <w:r>
        <w:t xml:space="preserve"> </w:t>
      </w:r>
      <w:r>
        <w:t xml:space="preserve">rather than abandonment. Both also compress the predicted range so severely</w:t>
      </w:r>
      <w:r>
        <w:t xml:space="preserve"> </w:t>
      </w:r>
      <w:r>
        <w:t xml:space="preserve">that no patient receives a risk below 0.1, against 14.5% of patients under</w:t>
      </w:r>
      <w:r>
        <w:t xml:space="preserve"> </w:t>
      </w:r>
      <w:r>
        <w:t xml:space="preserve">nearest alone. The</w:t>
      </w:r>
      <w:r>
        <w:t xml:space="preserve"> </w:t>
      </w:r>
      <w:r>
        <w:t xml:space="preserve">logistic stack (c) does not share this defect: being fit to the outcome, it</w:t>
      </w:r>
      <w:r>
        <w:t xml:space="preserve"> </w:t>
      </w:r>
      <w:r>
        <w:t xml:space="preserve">slightly improves on the baseline in both Brier (0.141) and weighted calibration</w:t>
      </w:r>
      <w:r>
        <w:t xml:space="preserve"> </w:t>
      </w:r>
      <w:r>
        <w:t xml:space="preserve">error (0.003). Variants (a) and (b) should accordingly be treated as ranking</w:t>
      </w:r>
      <w:r>
        <w:t xml:space="preserve"> </w:t>
      </w:r>
      <w:r>
        <w:t xml:space="preserve">scores only, absent an explicit out-of-fold recalibration step. Variant (c)</w:t>
      </w:r>
      <w:r>
        <w:t xml:space="preserve"> </w:t>
      </w:r>
      <w:r>
        <w:t xml:space="preserve">requires no such caveat.</w:t>
      </w:r>
    </w:p>
    <w:bookmarkEnd w:id="25"/>
    <w:bookmarkStart w:id="26" w:name="s6.3-interpretation"/>
    <w:p>
      <w:pPr>
        <w:pStyle w:val="Heading2"/>
      </w:pPr>
      <w:r>
        <w:t xml:space="preserve">S6.3 Interpretation</w:t>
      </w:r>
    </w:p>
    <w:p>
      <w:pPr>
        <w:pStyle w:val="FirstParagraph"/>
      </w:pPr>
      <w:r>
        <w:t xml:space="preserve">The fusion hypothesis is rejected on this cohort. The farthest-retrieval signal is real, and the direction of its inversion is</w:t>
      </w:r>
      <w:r>
        <w:t xml:space="preserve"> </w:t>
      </w:r>
      <w:r>
        <w:t xml:space="preserve">recoverable from the data without being specified in advance. It is not</w:t>
      </w:r>
      <w:r>
        <w:t xml:space="preserve"> </w:t>
      </w:r>
      <w:r>
        <w:t xml:space="preserve">additive to nearest retrieval. The likely reason is that both are readings of</w:t>
      </w:r>
      <w:r>
        <w:t xml:space="preserve"> </w:t>
      </w:r>
      <w:r>
        <w:t xml:space="preserve">the same embedding geometry over the same patients, so the inverted farthest</w:t>
      </w:r>
      <w:r>
        <w:t xml:space="preserve"> </w:t>
      </w:r>
      <w:r>
        <w:t xml:space="preserve">score largely restates information the nearest score already carries. Fusion across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representations, or</w:t>
      </w:r>
      <w:r>
        <w:t xml:space="preserve"> </w:t>
      </w:r>
      <w:r>
        <w:t xml:space="preserve">across encoders whose geometries disagree, is a materially different proposition</w:t>
      </w:r>
      <w:r>
        <w:t xml:space="preserve"> </w:t>
      </w:r>
      <w:r>
        <w:t xml:space="preserve">and remains untested.</w:t>
      </w:r>
    </w:p>
    <w:p>
      <w:pPr>
        <w:pStyle w:val="BodyText"/>
      </w:pPr>
      <w:r>
        <w:t xml:space="preserve">This analysis is exploratory, single-encoder, and conducted post hoc on the</w:t>
      </w:r>
      <w:r>
        <w:t xml:space="preserve"> </w:t>
      </w:r>
      <w:r>
        <w:t xml:space="preserve">held-out test set. It is reported for completeness and to close a question the</w:t>
      </w:r>
      <w:r>
        <w:t xml:space="preserve"> </w:t>
      </w:r>
      <w:r>
        <w:t xml:space="preserve">main text raises, not as a confirmatory result.</w:t>
      </w:r>
    </w:p>
    <w:bookmarkEnd w:id="26"/>
    <w:bookmarkEnd w:id="27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0" Target="media/rId2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2026-09-08T19:38:33Z</dcterms:created>
  <dcterms:modified xsi:type="dcterms:W3CDTF">2026-09-08T19:38:33Z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