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28 September 2026</w:t>
      </w:r>
    </w:p>
    <w:p>
      <w:pPr>
        <w:pStyle w:val="BodyText"/>
      </w:pPr>
      <w:r>
        <w:t xml:space="preserve">The Editors</w:t>
      </w:r>
      <w:r>
        <w:t xml:space="preserve"> </w:t>
      </w:r>
      <w:r>
        <w:t xml:space="preserve">JMIR Mental Health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We are pleased to submit our original research manuscript,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Feature Vectors and Narrative Embeddings for Predicting a Treatment</w:t>
      </w:r>
      <w:r>
        <w:rPr>
          <w:bCs/>
          <w:b/>
        </w:rPr>
        <w:t xml:space="preserve"> </w:t>
      </w:r>
      <w:r>
        <w:rPr>
          <w:bCs/>
          <w:b/>
        </w:rPr>
        <w:t xml:space="preserve">Switching Proxy for Treatment Resistant Depression: Retrospective Cohort</w:t>
      </w:r>
      <w:r>
        <w:rPr>
          <w:bCs/>
          <w:b/>
        </w:rPr>
        <w:t xml:space="preserve"> </w:t>
      </w:r>
      <w:r>
        <w:rPr>
          <w:bCs/>
          <w:b/>
        </w:rPr>
        <w:t xml:space="preserve">Study,</w:t>
      </w:r>
      <w:r>
        <w:rPr>
          <w:bCs/>
          <w:b/>
        </w:rPr>
        <w:t xml:space="preserve">”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Cs/>
          <w:i/>
        </w:rPr>
        <w:t xml:space="preserve">JMIR Mental Health</w:t>
      </w:r>
      <w:r>
        <w:t xml:space="preserve">.</w:t>
      </w:r>
    </w:p>
    <w:p>
      <w:pPr>
        <w:pStyle w:val="BodyText"/>
      </w:pPr>
      <w:r>
        <w:t xml:space="preserve">The study asks whether pretrained embeddings of rule-based patient</w:t>
      </w:r>
      <w:r>
        <w:t xml:space="preserve"> </w:t>
      </w:r>
      <w:r>
        <w:t xml:space="preserve">narratives predict a treatment-switching proxy for treatment-resistant</w:t>
      </w:r>
      <w:r>
        <w:t xml:space="preserve"> </w:t>
      </w:r>
      <w:r>
        <w:t xml:space="preserve">depression (TRD) better than structured feature vectors built from the same</w:t>
      </w:r>
      <w:r>
        <w:t xml:space="preserve"> </w:t>
      </w:r>
      <w:r>
        <w:t xml:space="preserve">electronic health records (EHRs). Prediction is made at the index</w:t>
      </w:r>
      <w:r>
        <w:t xml:space="preserve"> </w:t>
      </w:r>
      <w:r>
        <w:t xml:space="preserve">antidepressant prescription.</w:t>
      </w:r>
    </w:p>
    <w:p>
      <w:pPr>
        <w:pStyle w:val="BodyText"/>
      </w:pPr>
      <w:r>
        <w:t xml:space="preserve">In 42,579 patients from one community health system, the two approaches</w:t>
      </w:r>
      <w:r>
        <w:t xml:space="preserve"> </w:t>
      </w:r>
      <w:r>
        <w:t xml:space="preserve">performed similarly. Embedded logistic regression reached a receiver</w:t>
      </w:r>
      <w:r>
        <w:t xml:space="preserve"> </w:t>
      </w:r>
      <w:r>
        <w:t xml:space="preserve">operating characteristic area under the curve (ROC AUC) of 0.657 (95% CI</w:t>
      </w:r>
      <w:r>
        <w:t xml:space="preserve"> </w:t>
      </w:r>
      <w:r>
        <w:t xml:space="preserve">0.643-0.672). Feature-vector XGBoost reached 0.649 (95% CI 0.634-0.664).</w:t>
      </w:r>
      <w:r>
        <w:t xml:space="preserve"> </w:t>
      </w:r>
      <w:r>
        <w:t xml:space="preserve">Their paired difference was 0.008 (95% CI -0.003 to 0.019). The classifier</w:t>
      </w:r>
      <w:r>
        <w:t xml:space="preserve"> </w:t>
      </w:r>
      <w:r>
        <w:t xml:space="preserve">changed the result: embeddings improved logistic regression and reduced</w:t>
      </w:r>
      <w:r>
        <w:t xml:space="preserve"> </w:t>
      </w:r>
      <w:r>
        <w:t xml:space="preserve">discrimination for all three tree ensembles. Logistic regression led the</w:t>
      </w:r>
      <w:r>
        <w:t xml:space="preserve"> </w:t>
      </w:r>
      <w:r>
        <w:t xml:space="preserve">embedded models on all four encoders.</w:t>
      </w:r>
    </w:p>
    <w:p>
      <w:pPr>
        <w:pStyle w:val="BodyText"/>
      </w:pPr>
      <w:r>
        <w:t xml:space="preserve">The predictive signal came from familiar clinical history. Permuting</w:t>
      </w:r>
      <w:r>
        <w:t xml:space="preserve"> </w:t>
      </w:r>
      <w:r>
        <w:t xml:space="preserve">psychiatric history caused the largest loss, and medication burden and</w:t>
      </w:r>
      <w:r>
        <w:t xml:space="preserve"> </w:t>
      </w:r>
      <w:r>
        <w:t xml:space="preserve">prior treatment also contributed. Permuting race/ethnicity or social</w:t>
      </w:r>
      <w:r>
        <w:t xml:space="preserve"> </w:t>
      </w:r>
      <w:r>
        <w:t xml:space="preserve">determinants changed ROC AUC by no more than 0.003. Nearest-neighbor</w:t>
      </w:r>
      <w:r>
        <w:t xml:space="preserve"> </w:t>
      </w:r>
      <w:r>
        <w:t xml:space="preserve">retrieval over the embedding showed that proximity tracks outcome risk, but</w:t>
      </w:r>
      <w:r>
        <w:t xml:space="preserve"> </w:t>
      </w:r>
      <w:r>
        <w:t xml:space="preserve">it stayed below both leading classifiers at every neighborhood size. Its</w:t>
      </w:r>
      <w:r>
        <w:t xml:space="preserve"> </w:t>
      </w:r>
      <w:r>
        <w:t xml:space="preserve">best ROC AUC was 0.625 (95% CI 0.610-0.641).</w:t>
      </w:r>
    </w:p>
    <w:p>
      <w:pPr>
        <w:pStyle w:val="BodyText"/>
      </w:pPr>
      <w:r>
        <w:t xml:space="preserve">We are explicit that the outcome is a treatment-switching proxy rather than</w:t>
      </w:r>
      <w:r>
        <w:t xml:space="preserve"> </w:t>
      </w:r>
      <w:r>
        <w:t xml:space="preserve">confirmed treatment resistance, that validation is internal, and that the</w:t>
      </w:r>
      <w:r>
        <w:t xml:space="preserve"> </w:t>
      </w:r>
      <w:r>
        <w:t xml:space="preserve">subgroup analyses do not establish equitable performance. We think the</w:t>
      </w:r>
      <w:r>
        <w:t xml:space="preserve"> </w:t>
      </w:r>
      <w:r>
        <w:t xml:space="preserve">results give a practical structured-feature benchmark for EHR embedding</w:t>
      </w:r>
      <w:r>
        <w:t xml:space="preserve"> </w:t>
      </w:r>
      <w:r>
        <w:t xml:space="preserve">pipelines, and a clear case for validating the outcome before deploying</w:t>
      </w:r>
      <w:r>
        <w:t xml:space="preserve"> </w:t>
      </w:r>
      <w:r>
        <w:t xml:space="preserve">either approach.</w:t>
      </w:r>
    </w:p>
    <w:p>
      <w:pPr>
        <w:pStyle w:val="BodyText"/>
      </w:pPr>
      <w:r>
        <w:t xml:space="preserve">This work is reported in accordance with the</w:t>
      </w:r>
      <w:r>
        <w:t xml:space="preserve"> </w:t>
      </w:r>
      <w:r>
        <w:rPr>
          <w:bCs/>
          <w:b/>
        </w:rPr>
        <w:t xml:space="preserve">TRIPOD+AI</w:t>
      </w:r>
      <w:r>
        <w:t xml:space="preserve"> </w:t>
      </w:r>
      <w:r>
        <w:t xml:space="preserve">guideline for</w:t>
      </w:r>
      <w:r>
        <w:t xml:space="preserve"> </w:t>
      </w:r>
      <w:r>
        <w:t xml:space="preserve">the reporting of clinical prediction models that use regression or</w:t>
      </w:r>
      <w:r>
        <w:t xml:space="preserve"> </w:t>
      </w:r>
      <w:r>
        <w:t xml:space="preserve">machine learning methods; a completed TRIPOD+AI checklist is included</w:t>
      </w:r>
      <w:r>
        <w:t xml:space="preserve"> </w:t>
      </w:r>
      <w:r>
        <w:t xml:space="preserve">with this submission.</w:t>
      </w:r>
    </w:p>
    <w:p>
      <w:pPr>
        <w:pStyle w:val="BodyText"/>
      </w:pPr>
      <w:r>
        <w:t xml:space="preserve">We confirm that this manuscript describes original work, is not under</w:t>
      </w:r>
      <w:r>
        <w:t xml:space="preserve"> </w:t>
      </w:r>
      <w:r>
        <w:t xml:space="preserve">consideration for publication elsewhere, and that all listed authors</w:t>
      </w:r>
      <w:r>
        <w:t xml:space="preserve"> </w:t>
      </w:r>
      <w:r>
        <w:t xml:space="preserve">have read and approved the submission. The EHR data are not publicly</w:t>
      </w:r>
      <w:r>
        <w:t xml:space="preserve"> </w:t>
      </w:r>
      <w:r>
        <w:t xml:space="preserve">shareable; the full analysis code is available at</w:t>
      </w:r>
      <w:r>
        <w:t xml:space="preserve"> </w:t>
      </w:r>
      <w:r>
        <w:t xml:space="preserve">https://github.com/Pirate-Hunter-Zoro/TRD-EHR. Funding, conflict</w:t>
      </w:r>
      <w:r>
        <w:t xml:space="preserve"> </w:t>
      </w:r>
      <w:r>
        <w:t xml:space="preserve">of interest, and ethics/IRB statements are provided in the manuscript’s</w:t>
      </w:r>
      <w:r>
        <w:t xml:space="preserve"> </w:t>
      </w:r>
      <w:r>
        <w:t xml:space="preserve">Declarations: no conflicts of interest are declared; the work was funded</w:t>
      </w:r>
      <w:r>
        <w:t xml:space="preserve"> </w:t>
      </w:r>
      <w:r>
        <w:t xml:space="preserve">by the William K. Warren Foundation, with no other funding source; and</w:t>
      </w:r>
      <w:r>
        <w:t xml:space="preserve"> </w:t>
      </w:r>
      <w:r>
        <w:t xml:space="preserve">the study is a secondary analysis of de-identified data and is therefore</w:t>
      </w:r>
      <w:r>
        <w:t xml:space="preserve"> </w:t>
      </w:r>
      <w:r>
        <w:t xml:space="preserve">not human-subjects research subject to institutional review board</w:t>
      </w:r>
      <w:r>
        <w:t xml:space="preserve"> </w:t>
      </w:r>
      <w:r>
        <w:t xml:space="preserve">approval. All analysis was performed on local institutional hardware with</w:t>
      </w:r>
      <w:r>
        <w:t xml:space="preserve"> </w:t>
      </w:r>
      <w:r>
        <w:t xml:space="preserve">a de-identified extract containing no protected health information, with</w:t>
      </w:r>
      <w:r>
        <w:t xml:space="preserve"> </w:t>
      </w:r>
      <w:r>
        <w:t xml:space="preserve">no patient data transmitted to any external or commercial service.</w:t>
      </w:r>
    </w:p>
    <w:p>
      <w:pPr>
        <w:pStyle w:val="BodyText"/>
      </w:pPr>
      <w:r>
        <w:t xml:space="preserve">Thank you for considering our work.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Mikey Ferguson, BS</w:t>
      </w:r>
      <w:r>
        <w:t xml:space="preserve"> </w:t>
      </w:r>
      <w:r>
        <w:t xml:space="preserve">Laureate Institute for Brain Research</w:t>
      </w:r>
      <w:r>
        <w:t xml:space="preserve"> </w:t>
      </w:r>
      <w:r>
        <w:t xml:space="preserve">6655 South Yale Avenue, Tulsa, OK 74136, United States</w:t>
      </w:r>
      <w:r>
        <w:t xml:space="preserve"> </w:t>
      </w:r>
      <w:r>
        <w:t xml:space="preserve">mferguson@laureateinstitute.org</w:t>
      </w:r>
      <w:r>
        <w:t xml:space="preserve"> </w:t>
      </w:r>
      <w:r>
        <w:t xml:space="preserve">on behalf of all authors</w:t>
      </w:r>
    </w:p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2026-09-29T00:36:59Z</dcterms:created>
  <dcterms:modified xsi:type="dcterms:W3CDTF">2026-09-29T00:36:59Z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