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Cs/>
          <w:b/>
        </w:rPr>
        <w:t xml:space="preserve">Objective:</w:t>
      </w:r>
      <w:r>
        <w:t xml:space="preserve"> </w:t>
      </w:r>
      <w:r>
        <w:t xml:space="preserve">We compared structured feature vectors with pretrained embeddings of rule-based patient narratives for predicting a treatment-switching proxy for TRD at the index antidepressant prescription.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Qwen3-Embedding-8B was primary.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The outcome occurred in 7,455 patients (17.5%).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ROC AUC but reduced discrimination for the 3 tree ensembles by 0.013–0.022. Embedded logistic regression achieved ROC AUCs of 0.645–0.657 across encoders. Permuting psychiatric history produced the largest discrimination loss for the primary encoder (0.024–0.028 across classifiers); medication burden and prior treatment exposure also contributed. Permuting race/ethnicity or recorded social determinants changed ROC AUC by no more than 0.003. Nearest-neighbor retrieval over the embedding stayed below both leading classifiers at every neighborhood size tested; its best ROC AUC was 0.625 (95% CI 0.610–0.641).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 and prioritize validation of the outcome, transportability, and clinical value before deployment.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2026-09-29T00:35:57Z</dcterms:created>
  <dcterms:modified xsi:type="dcterms:W3CDTF">2026-09-29T00:35:57Z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