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sults"/>
    <w:p>
      <w:pPr>
        <w:pStyle w:val="Heading1"/>
      </w:pPr>
      <w:r>
        <w:t xml:space="preserve">Results</w:t>
      </w:r>
    </w:p>
    <w:bookmarkStart w:id="20"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0"/>
    <w:bookmarkStart w:id="22"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21"/>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S2–S3, S9, and S12.</w:t>
      </w:r>
    </w:p>
    <w:bookmarkEnd w:id="22"/>
    <w:bookmarkStart w:id="24"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23"/>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24"/>
    <w:bookmarkStart w:id="26" w:name="retrieval-and-subgroup-performance"/>
    <w:p>
      <w:pPr>
        <w:pStyle w:val="Heading2"/>
      </w:pPr>
      <w:r>
        <w:t xml:space="preserve">Retrieval and Subgroup Performance</w:t>
      </w:r>
    </w:p>
    <w:p>
      <w:pPr>
        <w:pStyle w:val="FirstParagraph"/>
      </w:pPr>
      <w:r>
        <w:t xml:space="preserve">At k = 50, plain cosine retrieval achieved an ROC AUC of 0.594 (95% CI 0.578–0.610). Random retrieval yielded 0.499 and farthest retrieval 0.432. Neighborhood size mattered more than the similarity metric (Figure 4). Discrimination rose with k and was flat from roughly 300 neighbors onward. At its best k, importance-weighted retrieval reached 0.625 (95% CI 0.610–0.641) and plain cosine 0.618 (95% CI 0.602–0.634). The paired difference between the 2 metrics was 0.007 (95% CI −0.001 to 0.014). The best retrieval result over every k and exponent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(Multimedia Appendix 1, section S6).</w:t>
      </w:r>
    </w:p>
    <w:p>
      <w:pPr>
        <w:pStyle w:val="BodyText"/>
      </w:pPr>
      <w:r>
        <w:drawing>
          <wp:inline>
            <wp:extent cx="5486400" cy="3291840"/>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25"/>
                    <a:stretch>
                      <a:fillRect/>
                    </a:stretch>
                  </pic:blipFill>
                  <pic:spPr bwMode="auto">
                    <a:xfrm>
                      <a:off x="0" y="0"/>
                      <a:ext cx="5486400" cy="3291840"/>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for importance-weighted and plain cosine retrieval at every k from 1 to 34,063, with bootstrap 95% bands. Points mark each metric’s best k. The vertical line marks k = 50, the primary analysis. Horizontal lines mark the 2 leading trained classifiers. Curves use α = 1; the maxima under α = 1, 2, and 5 agreed within 0.002.</w:t>
      </w:r>
    </w:p>
    <w:p>
      <w:pPr>
        <w:pStyle w:val="BodyText"/>
      </w:pPr>
      <w:r>
        <w:t xml:space="preserve">Of 240 subgroup contrasts, 24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Plain cosine retrieval discriminated better in patients with severe coding. Sex contrasts did not show clear differences. White-minus-non-White ROC AUC differences were consistently positive (0.005–0.052), but none survived adjustment. For feature-vector logistic regression, individual-level calibration slopes were 0.98 in White patients and 0.79 in patients with other recorded racial categories. These findings do not establish equitable performance (Multimedia Appendix 1, section S9).</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2026-09-29T00:35:58Z</dcterms:created>
  <dcterms:modified xsi:type="dcterms:W3CDTF">2026-09-29T00:35:58Z</dcterms:modified>
</cp:coreProperties>
</file>

<file path=docProps/custom.xml><?xml version="1.0" encoding="utf-8"?>
<Properties xmlns="http://schemas.openxmlformats.org/officeDocument/2006/custom-properties" xmlns:vt="http://schemas.openxmlformats.org/officeDocument/2006/docPropsVTypes"/>
</file>