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t xml:space="preserve">M1–M13 Detailed methods and predictor inventory</w:t>
      </w:r>
      <w:r>
        <w:br/>
      </w:r>
      <w:r>
        <w:t xml:space="preserve">S1 Embedding dimensionality</w:t>
      </w:r>
      <w:r>
        <w:br/>
      </w:r>
      <w:r>
        <w:t xml:space="preserve">S2–S3 Precision–recall performance and calibration</w:t>
      </w:r>
      <w:r>
        <w:br/>
      </w:r>
      <w:r>
        <w:t xml:space="preserve">S4–S5 Similarity geometry and example narratives</w:t>
      </w:r>
      <w:r>
        <w:br/>
      </w:r>
      <w:r>
        <w:t xml:space="preserve">S6 Neighbor prediction</w:t>
      </w:r>
      <w:r>
        <w:br/>
      </w:r>
      <w:r>
        <w:t xml:space="preserve">S7–S8 Record length and sample comparability</w:t>
      </w:r>
      <w:r>
        <w:br/>
      </w:r>
      <w:r>
        <w:t xml:space="preserve">S9–S11 Subgroup performance, field crosswalk, and cohort characteristics</w:t>
      </w:r>
      <w:r>
        <w:br/>
      </w:r>
      <w:r>
        <w:t xml:space="preserve">S12 Additional model diagnostics and encoder estimates</w:t>
      </w:r>
    </w:p>
    <w:p>
      <w:pPr>
        <w:pStyle w:val="BodyText"/>
      </w:pPr>
      <w:r>
        <w:t xml:space="preserve">This appendix provides detailed methods, supporting analyses, and results for the comparison of structured feature vectors and narrative embeddings. Sections M1–M13 describe the methods and predictor inventory; sections S1–S12 report supporting analyses and extended results. TRD denotes the treatment-switching proxy defined in section M3, not symptom-confirmed treatment-resistant depression. FEATURE and EMBEDDED identify the structured and narrative pipelines, respectively.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2026-09-29T00:36:01Z</dcterms:created>
  <dcterms:modified xsi:type="dcterms:W3CDTF">2026-09-29T00:36:01Z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