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2-eligibility-and-temporal-design"/>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pct" w:w="0.0"/>
        <w:tblLook w:firstRow="1" w:lastRow="0" w:firstColumn="0" w:lastColumn="0" w:noHBand="0" w:noVBand="0" w:val="0020"/>
      </w:tblPr>
      <w:tblGrid/>
      <w:tr>
        <w:tc>
          <w:p>
            <w:pPr>
              <w:pStyle w:val="Compact"/>
              <w:jc w:val="left"/>
            </w:pPr>
            <w:r>
              <w:rPr>
                <w:bCs/>
                <w:b/>
              </w:rPr>
              <w:t xml:space="preserve">Stage</w:t>
            </w:r>
          </w:p>
        </w:tc>
        <w:tc>
          <w:p>
            <w:pPr>
              <w:pStyle w:val="Compact"/>
              <w:jc w:val="left"/>
            </w:pPr>
            <w:r>
              <w:rPr>
                <w:bCs/>
                <w:b/>
              </w:rPr>
              <w:t xml:space="preserve">Remaining</w:t>
            </w:r>
          </w:p>
        </w:tc>
        <w:tc>
          <w:p>
            <w:pPr>
              <w:pStyle w:val="Compact"/>
              <w:jc w:val="left"/>
            </w:pPr>
            <w:r>
              <w:rPr>
                <w:bCs/>
                <w:b/>
              </w:rPr>
              <w:t xml:space="preserve">Rejected at stage</w:t>
            </w:r>
          </w:p>
        </w:tc>
      </w:tr>
      <w:tr>
        <w:tc>
          <w:p>
            <w:pPr>
              <w:pStyle w:val="Compact"/>
              <w:jc w:val="left"/>
            </w:pPr>
            <w:r>
              <w:t xml:space="preserve">Delivered extract (4:1 case-enriched)</w:t>
            </w:r>
          </w:p>
        </w:tc>
        <w:tc>
          <w:p>
            <w:pPr>
              <w:pStyle w:val="Compact"/>
              <w:jc w:val="left"/>
            </w:pPr>
            <w:r>
              <w:t xml:space="preserve">501,718</w:t>
            </w:r>
          </w:p>
        </w:tc>
        <w:tc>
          <w:p>
            <w:pPr>
              <w:pStyle w:val="Compact"/>
              <w:jc w:val="left"/>
            </w:pPr>
            <w:r>
              <w:t xml:space="preserve">—</w:t>
            </w:r>
          </w:p>
        </w:tc>
      </w:tr>
      <w:tr>
        <w:tc>
          <w:p>
            <w:pPr>
              <w:pStyle w:val="Compact"/>
              <w:jc w:val="left"/>
            </w:pPr>
            <w:r>
              <w:t xml:space="preserve">MDD-diagnosed</w:t>
            </w:r>
          </w:p>
        </w:tc>
        <w:tc>
          <w:p>
            <w:pPr>
              <w:pStyle w:val="Compact"/>
              <w:jc w:val="left"/>
            </w:pPr>
            <w:r>
              <w:t xml:space="preserve">144,110</w:t>
            </w:r>
          </w:p>
        </w:tc>
        <w:tc>
          <w:p>
            <w:pPr>
              <w:pStyle w:val="Compact"/>
              <w:jc w:val="left"/>
            </w:pPr>
            <w:r>
              <w:t xml:space="preserve">357,608</w:t>
            </w:r>
          </w:p>
        </w:tc>
      </w:tr>
      <w:tr>
        <w:tc>
          <w:p>
            <w:pPr>
              <w:pStyle w:val="Compact"/>
              <w:jc w:val="left"/>
            </w:pPr>
            <w:r>
              <w:t xml:space="preserve">Not bipolar AND not schizophrenia-spectrum</w:t>
            </w:r>
          </w:p>
        </w:tc>
        <w:tc>
          <w:p>
            <w:pPr>
              <w:pStyle w:val="Compact"/>
              <w:jc w:val="left"/>
            </w:pPr>
            <w:r>
              <w:t xml:space="preserve">124,188</w:t>
            </w:r>
          </w:p>
        </w:tc>
        <w:tc>
          <w:p>
            <w:pPr>
              <w:pStyle w:val="Compact"/>
              <w:jc w:val="left"/>
            </w:pPr>
            <w:r>
              <w:t xml:space="preserve">19,922</w:t>
            </w:r>
          </w:p>
        </w:tc>
      </w:tr>
      <w:tr>
        <w:tc>
          <w:p>
            <w:pPr>
              <w:pStyle w:val="Compact"/>
              <w:jc w:val="left"/>
            </w:pPr>
            <w:r>
              <w:t xml:space="preserve">Has antidepressant index prescription</w:t>
            </w:r>
          </w:p>
        </w:tc>
        <w:tc>
          <w:p>
            <w:pPr>
              <w:pStyle w:val="Compact"/>
              <w:jc w:val="left"/>
            </w:pPr>
            <w:r>
              <w:t xml:space="preserve">107,636</w:t>
            </w:r>
          </w:p>
        </w:tc>
        <w:tc>
          <w:p>
            <w:pPr>
              <w:pStyle w:val="Compact"/>
              <w:jc w:val="left"/>
            </w:pPr>
            <w:r>
              <w:t xml:space="preserve">16,552</w:t>
            </w:r>
          </w:p>
        </w:tc>
      </w:tr>
      <w:tr>
        <w:tc>
          <w:p>
            <w:pPr>
              <w:pStyle w:val="Compact"/>
              <w:jc w:val="left"/>
            </w:pPr>
            <w:r>
              <w:t xml:space="preserve">Has MDD before index</w:t>
            </w:r>
          </w:p>
        </w:tc>
        <w:tc>
          <w:p>
            <w:pPr>
              <w:pStyle w:val="Compact"/>
              <w:jc w:val="left"/>
            </w:pPr>
            <w:r>
              <w:t xml:space="preserve">103,458</w:t>
            </w:r>
          </w:p>
        </w:tc>
        <w:tc>
          <w:p>
            <w:pPr>
              <w:pStyle w:val="Compact"/>
              <w:jc w:val="left"/>
            </w:pPr>
            <w:r>
              <w:t xml:space="preserve">4,178</w:t>
            </w:r>
          </w:p>
        </w:tc>
      </w:tr>
      <w:tr>
        <w:tc>
          <w:p>
            <w:pPr>
              <w:pStyle w:val="Compact"/>
              <w:jc w:val="left"/>
            </w:pPr>
            <w:r>
              <w:t xml:space="preserve">≥2 years pre-index history</w:t>
            </w:r>
          </w:p>
        </w:tc>
        <w:tc>
          <w:p>
            <w:pPr>
              <w:pStyle w:val="Compact"/>
              <w:jc w:val="left"/>
            </w:pPr>
            <w:r>
              <w:t xml:space="preserve">54,215</w:t>
            </w:r>
          </w:p>
        </w:tc>
        <w:tc>
          <w:p>
            <w:pPr>
              <w:pStyle w:val="Compact"/>
              <w:jc w:val="left"/>
            </w:pPr>
            <w:r>
              <w:t xml:space="preserve">49,243</w:t>
            </w:r>
          </w:p>
        </w:tc>
      </w:tr>
      <w:tr>
        <w:tc>
          <w:p>
            <w:pPr>
              <w:pStyle w:val="Compact"/>
              <w:jc w:val="left"/>
            </w:pPr>
            <w:r>
              <w:t xml:space="preserve">≥1 year post-index follow-up (final cohort)</w:t>
            </w:r>
          </w:p>
        </w:tc>
        <w:tc>
          <w:p>
            <w:pPr>
              <w:pStyle w:val="Compact"/>
              <w:jc w:val="left"/>
            </w:pPr>
            <w:r>
              <w:t xml:space="preserve">42,579</w:t>
            </w:r>
          </w:p>
        </w:tc>
        <w:tc>
          <w:p>
            <w:pPr>
              <w:pStyle w:val="Compact"/>
              <w:jc w:val="left"/>
            </w:pPr>
            <w:r>
              <w:t xml:space="preserve">11,636</w:t>
            </w:r>
          </w:p>
        </w:tc>
      </w:tr>
    </w:tbl>
    <w:p>
      <w:pPr>
        <w:pStyle w:val="BodyText"/>
      </w:pPr>
      <w:r>
        <w:t xml:space="preserve">Upstream data preparation assembled, for each patient, all antidepressant medication orders beginning on or after the date of the first documented depression diagnosis. The earliest start date in that set defined the index date, one per patient. Among candidate index orders, 57.9% begin on the same date as the first recorded depression diagnosis.</w:t>
      </w:r>
    </w:p>
    <w:p>
      <w:pPr>
        <w:pStyle w:val="BodyText"/>
      </w:pPr>
      <w:r>
        <w:t xml:space="preserve">Index selection did not depend on subsequent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had some recorded pre-index exposure and 14.7% had a course meeting the 42-day duration threshold. The index was the first recorded prescription on or after a documented depression diagnosis, not necessarily the first lifetime exposure or first adequate trial.</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2026-09-29T00:36:01Z</dcterms:created>
  <dcterms:modified xsi:type="dcterms:W3CDTF">2026-09-29T00:36:01Z</dcterms:modified>
</cp:coreProperties>
</file>

<file path=docProps/custom.xml><?xml version="1.0" encoding="utf-8"?>
<Properties xmlns="http://schemas.openxmlformats.org/officeDocument/2006/custom-properties" xmlns:vt="http://schemas.openxmlformats.org/officeDocument/2006/docPropsVTypes"/>
</file>