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981043068b64e5c28c31cee653409619b5d781"/>
    <w:p>
      <w:pPr>
        <w:pStyle w:val="Heading1"/>
      </w:pPr>
      <w:r>
        <w:t xml:space="preserve">M4 Predictors and Structured Representation</w:t>
      </w:r>
    </w:p>
    <w:p>
      <w:pPr>
        <w:pStyle w:val="FirstParagraph"/>
      </w:pPr>
      <w:r>
        <w:t xml:space="preserve">Predictor domains were selected clinically and from prior literature before model fitting or inspection of outcome associations [5]. No univariate screening or automated selection determined the source-field inventory; subsequent model regularization operated on the encoded predictors.</w:t>
      </w:r>
    </w:p>
    <w:p>
      <w:pPr>
        <w:pStyle w:val="BodyText"/>
      </w:pPr>
      <w:r>
        <w:t xml:space="preserve">Domains included depression severity and recurrence, psychiatric and substance-use comorbidity, medical comorbidity, prior treatment, medication burden, utilization, and sociodemographic characteristics [5-8]. Severity was represented by diagnosis codes because standardized symptom scales were not available.</w:t>
      </w:r>
    </w:p>
    <w:p>
      <w:pPr>
        <w:pStyle w:val="BodyText"/>
      </w:pPr>
      <w:r>
        <w:t xml:space="preserve">Prescribing-constraint flags described potential limits on treatment options. Sociodemographic and social-determinant fields were retained to evaluate their direct contribution by permutation. Body mass index and blood pressure were subsequently removed from FEATURE because of missingness (section M6).</w:t>
      </w:r>
    </w:p>
    <w:p>
      <w:pPr>
        <w:pStyle w:val="BodyText"/>
      </w:pPr>
      <w:r>
        <w:t xml:space="preserve">FEATURE assigns explicit types to counts and durations, binary indicators, and nominal categories. Prior antidepressant trial counts required at least 42 continuous days of exposure; adequate dose was not established by this rule. Tables M2–M4 provide the 59 retained source fields and their expansion to 92 model columns.</w:t>
      </w:r>
    </w:p>
    <w:p>
      <w:pPr>
        <w:pStyle w:val="BodyText"/>
      </w:pPr>
      <w:r>
        <w:t xml:space="preserve">After removal of 3 vital-sign fields, the inventory comprised 15 quantitative, 36 binary, and 8 categorical source fields. Categorical expansion produced 41 columns, for a total of 92. Display labels are those used in the original analyses.</w:t>
      </w:r>
    </w:p>
    <w:p>
      <w:pPr>
        <w:pStyle w:val="BodyText"/>
      </w:pPr>
      <w:r>
        <w:t xml:space="preserve">Table M2. Quantitative predictors.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history before index (days)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 length (days)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 visits (count)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Inpatient days before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Medications active at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Anti-inflammatories active at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Sleep meds active at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Anxiolytic days before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Bupropion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Mirtazapine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SNRI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SSRI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Vortioxetine trials (6+ wk)</w:t>
            </w:r>
          </w:p>
        </w:tc>
      </w:tr>
    </w:tbl>
    <w:p>
      <w:pPr>
        <w:pStyle w:val="BodyText"/>
      </w:pPr>
      <w:r>
        <w:t xml:space="preserve">Table M3. Binary predictors by domain.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flags (3)</w:t>
            </w:r>
          </w:p>
        </w:tc>
        <w:tc>
          <w:p>
            <w:pPr>
              <w:pStyle w:val="Compact"/>
              <w:jc w:val="left"/>
            </w:pPr>
            <w:r>
              <w:t xml:space="preserve">MDD in history; Suicidality; Augmentation therapy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comorbidities (8)</w:t>
            </w:r>
          </w:p>
        </w:tc>
        <w:tc>
          <w:p>
            <w:pPr>
              <w:pStyle w:val="Compact"/>
              <w:jc w:val="left"/>
            </w:pPr>
            <w:r>
              <w:t xml:space="preserve">Adjustment disorder; Anxiety disorder; Dysthymia (chronic depression); Insomnia; OCD; PTSD; Social anxiety disorder; Substance use disorder (any)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Medical comorbidities (4)</w:t>
            </w:r>
          </w:p>
        </w:tc>
        <w:tc>
          <w:p>
            <w:pPr>
              <w:pStyle w:val="Compact"/>
              <w:jc w:val="left"/>
            </w:pPr>
            <w:r>
              <w:t xml:space="preserve">Chronic pain; Diabetes; High cholesterol; Thyroid disorder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Prescribing-constraint / safety (2)</w:t>
            </w:r>
          </w:p>
        </w:tc>
        <w:tc>
          <w:p>
            <w:pPr>
              <w:pStyle w:val="Compact"/>
              <w:jc w:val="left"/>
            </w:pPr>
            <w:r>
              <w:t xml:space="preserve">Seizure disorder; Uncontrolled hypertension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 use disorders (10)</w:t>
            </w:r>
          </w:p>
        </w:tc>
        <w:tc>
          <w:p>
            <w:pPr>
              <w:pStyle w:val="Compact"/>
              <w:jc w:val="left"/>
            </w:pPr>
            <w:r>
              <w:t xml:space="preserve">Alcohol; Cannabis; Cocaine; Hallucinogen; Inhalant; Nicotine; Opioid; Other stimulant; Other substance; Sedative/hypnotic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determinants of health (9)</w:t>
            </w:r>
          </w:p>
        </w:tc>
        <w:tc>
          <w:p>
            <w:pPr>
              <w:pStyle w:val="Compact"/>
              <w:jc w:val="left"/>
            </w:pPr>
            <w:r>
              <w:t xml:space="preserve">Education or literacy issue; Employment issue; Housing or financial issue; Legal or criminal issue; Occupational hazard exposure; Family/support group issue; Psychosocial circumstances; Social environment issue; Upbringing issue</w:t>
            </w:r>
          </w:p>
        </w:tc>
      </w:tr>
    </w:tbl>
    <w:p>
      <w:pPr>
        <w:pStyle w:val="BodyText"/>
      </w:pPr>
      <w:r>
        <w:t xml:space="preserve">Table M4. Categorical fields and encoded levels.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One-hot columns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Male (Female = reference, dropped)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language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Asian/Pacific Islander; English; Other; Other Indo-European; Spanish;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Divorced; Never married; Married; Separated; Widowed;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Catholic; Non-Christian; Orthodox; Other/Unknown; Protestant;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Current; Former; Never;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Race/ethnicity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American Indian/Alaska Native; Asian; Black/African American; Hispanic/Latino; Multi-race; Native Hawaiian/Pacific Islander; White/Caucasian;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Unspecified; Single episode; Recurrent; Dysthymia (chronic depression)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Unspecified; Mild; Moderate; Severe; Psychotic; Remission</w:t>
            </w:r>
          </w:p>
        </w:tc>
      </w:tr>
    </w:tbl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2026-09-29T00:36:02Z</dcterms:created>
  <dcterms:modified xsi:type="dcterms:W3CDTF">2026-09-29T00:36:02Z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