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2af3846b951325cba004a97cbac9aca609ad30"/>
    <w:p>
      <w:pPr>
        <w:pStyle w:val="Heading1"/>
      </w:pPr>
      <w:r>
        <w:t xml:space="preserve">M5 Deterministic Narratives and Embeddings</w:t>
      </w:r>
    </w:p>
    <w:p>
      <w:pPr>
        <w:pStyle w:val="FirstParagraph"/>
      </w:pPr>
      <w:r>
        <w:t xml:space="preserve">Fixed rules rendered the pre-index structured record as a Markdown narrative. No generative model wrote the summaries, preserving traceability and avoiding unsupported generated content [9]. Example inputs appear in section S5.</w:t>
      </w:r>
    </w:p>
    <w:p>
      <w:pPr>
        <w:pStyle w:val="BodyText"/>
      </w:pPr>
      <w:r>
        <w:t xml:space="preserve">Each narrative was mapped to a fixed-length vector with a pretrained sentence-transformer encoder [10]. The four independently evaluated encoders were bge-small-en-v1.5 [11], bge-en-icl [12], Qwen3-Embedding-4B, and Qwen3-Embedding-8B [13]. This serialization-and-encoding strategy follows evidence that general-purpose language-model embeddings of serialized EHR records can perform competitively with purpose-built EHR foundation models across prediction tasks [14].</w:t>
      </w:r>
    </w:p>
    <w:p>
      <w:pPr>
        <w:pStyle w:val="BodyText"/>
      </w:pPr>
      <w:r>
        <w:t xml:space="preserve">The pipelines share a source record and temporal cutoff but differ in field content. Section S10 documents these differences. Accordingly, the primary comparison evaluates complete pipelines rather than the isolated effect of numeric versus language encoding.</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2026-09-29T00:36:02Z</dcterms:created>
  <dcterms:modified xsi:type="dcterms:W3CDTF">2026-09-29T00:36:02Z</dcterms:modified>
</cp:coreProperties>
</file>

<file path=docProps/custom.xml><?xml version="1.0" encoding="utf-8"?>
<Properties xmlns="http://schemas.openxmlformats.org/officeDocument/2006/custom-properties" xmlns:vt="http://schemas.openxmlformats.org/officeDocument/2006/docPropsVTypes"/>
</file>