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8-training-and-test-split"/>
    <w:p>
      <w:pPr>
        <w:pStyle w:val="Heading1"/>
      </w:pPr>
      <w:r>
        <w:t xml:space="preserve">M8 Training and Test Split</w:t>
      </w:r>
    </w:p>
    <w:p>
      <w:pPr>
        <w:pStyle w:val="FirstParagraph"/>
      </w:pPr>
      <w:r>
        <w:t xml:space="preserve">All models used the same stratified split: 34,063 training patients (5,964 positive) and 8,516 test patients (1,491 positive). Across 100 predictor rows, the largest absolute standardized mean difference was 0.036. The largest imbalance concerned a rare social-determinant flag present in 22 training patients and no test patient. Outcome frequencies matched by design. Selected distributions are in section S8.</w:t>
      </w:r>
    </w:p>
    <w:p>
      <w:pPr>
        <w:pStyle w:val="BodyText"/>
      </w:pPr>
      <w:r>
        <w:t xml:space="preserve">Scaling parameters and category levels were estimated within each cross-validation training fold. The selected pipeline was then refitted on all training patients and applied to the test set; exploratory analyses subsequently reused these held-out predictions.</w:t>
      </w:r>
    </w:p>
    <w:p>
      <w:pPr>
        <w:pStyle w:val="BodyText"/>
      </w:pPr>
      <w:r>
        <w:t xml:space="preserve">The retrieval index contained training patients only. Test patients served as query anchors, with no self-retrieval or test-patient labels used to predict another test patient. Internal balance does not establish transportability because both partitions share the same sampling frame.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2026-09-29T00:36:03Z</dcterms:created>
  <dcterms:modified xsi:type="dcterms:W3CDTF">2026-09-29T00:36:03Z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