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0.png" ContentType="image/png"/>
  <Override PartName="/word/media/rId26.png" ContentType="image/png"/>
  <Override PartName="/word/media/rId24.png" ContentType="image/png"/>
  <Override PartName="/word/media/rId25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s1-embedding-dimensionality"/>
    <w:p>
      <w:pPr>
        <w:pStyle w:val="Heading1"/>
      </w:pPr>
      <w:r>
        <w:t xml:space="preserve">S1 Embedding Dimensionality</w:t>
      </w:r>
    </w:p>
    <w:p>
      <w:pPr>
        <w:pStyle w:val="FirstParagraph"/>
      </w:pPr>
      <w:r>
        <w:t xml:space="preserve">Latent embedding coordinates do not have individual clinical interpretations. We therefore examined fitted sparsity, cumulative correlations, and performance after principal component reduction for Qwen3-Embedding-8B. These exploratory analyses describe the fitted representation rather than identify distinct clinical mechanisms.</w:t>
      </w:r>
    </w:p>
    <w:bookmarkStart w:id="21" w:name="Xac9476d7e25852c5c469c075d7f7e08915db1ea"/>
    <w:p>
      <w:pPr>
        <w:pStyle w:val="Heading2"/>
      </w:pPr>
      <w:r>
        <w:t xml:space="preserve">S1 1 Sparsity and cumulative built in importance</w:t>
      </w:r>
    </w:p>
    <w:p>
      <w:pPr>
        <w:pStyle w:val="FirstParagraph"/>
      </w:pPr>
      <w:r>
        <w:t xml:space="preserve">The selected logistic regression used elastic-net regularization (l1_ratio=0.25; C=0.01). It assigned nonzero coefficients to 385 of 4,096 dimensions; approximately 80% of total absolute coefficient magnitude fell in 179 dimensions and 90% in 236 (Figure S1). These are model-specific measures of coefficient concentration, not estimates of intrinsic dimensionality or independent predictive information.</w:t>
      </w:r>
    </w:p>
    <w:p>
      <w:pPr>
        <w:pStyle w:val="BodyText"/>
      </w:pPr>
      <w:r>
        <w:drawing>
          <wp:inline>
            <wp:extent cx="5303520" cy="318211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results/Qwen-Qwen3-Embedding-8B/google_medgemma-27b-text-it/feature_importance/feature_importance_cumulative_EMBEDD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182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S1. Cumulative built-in importance across embedding dimensions, ranked within each classifier. For logistic regression, importance is absolute coefficient magnitude; tree models use native feature importance. K80 and K90 identify the numbers of coordinates accounting for 80% and 90% of that model-specific total.</w:t>
      </w:r>
    </w:p>
    <w:bookmarkEnd w:id="21"/>
    <w:bookmarkStart w:id="23" w:name="s1-2-cumulative-univariate-correlation"/>
    <w:p>
      <w:pPr>
        <w:pStyle w:val="Heading2"/>
      </w:pPr>
      <w:r>
        <w:t xml:space="preserve">S1 2 Cumulative univariate correlation</w:t>
      </w:r>
    </w:p>
    <w:p>
      <w:pPr>
        <w:pStyle w:val="FirstParagraph"/>
      </w:pPr>
      <w:r>
        <w:t xml:space="preserve">We ranked coordinates by absolute Spearman correlation with the outcome and, separately, with each classifier’s predicted risk (Figure S2). The cumulative curves were broadly distributed. A sparse coefficient vector and diffuse marginal correlations can coexist because embedding coordinates are correlated; neither identifies unique clinical factors.</w:t>
      </w:r>
    </w:p>
    <w:p>
      <w:pPr>
        <w:pStyle w:val="BodyText"/>
      </w:pPr>
      <w:r>
        <w:drawing>
          <wp:inline>
            <wp:extent cx="5303520" cy="318211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results/Qwen-Qwen3-Embedding-8B/google_medgemma-27b-text-it/feature_importance/feature_correlation_cumulative_EMBEDD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182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S2. Cumulative absolute univariate (Spearman) correlation. One model-agnostic baseline curve ranks dimensions by |ρ(dim, outcome)|; the four per-classifier curves rank by |ρ(dim, predicted risk)|. Cumulative fraction of total |ρ| mass versus rank, with K₈₀ / K₉₀ knees in the legend.</w:t>
      </w:r>
    </w:p>
    <w:bookmarkEnd w:id="23"/>
    <w:bookmarkStart w:id="28" w:name="s1-3-pca-k-discrimination-sweep"/>
    <w:p>
      <w:pPr>
        <w:pStyle w:val="Heading2"/>
      </w:pPr>
      <w:r>
        <w:t xml:space="preserve">S1 3 PCA K discrimination sweep</w:t>
      </w:r>
    </w:p>
    <w:p>
      <w:pPr>
        <w:pStyle w:val="FirstParagraph"/>
      </w:pPr>
      <w:r>
        <w:t xml:space="preserve">Each classifier was retrained on the top K principal components, with K in {1, 2, 4, 8, 16, 32, 64, 128, 256, 512, 1024}. Held-out ROC AUC generally improved as components were added, with model-specific plateaus and some deterioration at larger K (Figure S3). These curves do not identify a unique effective dimension, and choosing K from them would require further independent evaluation.</w:t>
      </w:r>
    </w:p>
    <w:p>
      <w:pPr>
        <w:pStyle w:val="BodyText"/>
      </w:pPr>
      <w:r>
        <w:t xml:space="preserve">A Logistic regression</w:t>
      </w:r>
    </w:p>
    <w:p>
      <w:pPr>
        <w:pStyle w:val="BodyText"/>
      </w:pPr>
      <w:r>
        <w:drawing>
          <wp:inline>
            <wp:extent cx="5303520" cy="318211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results/Qwen-Qwen3-Embedding-8B/google_medgemma-27b-text-it/feature_importance/feature_importance_pca_sweep_logistic_regression_EMBEDD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182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 Random forest</w:t>
      </w:r>
    </w:p>
    <w:p>
      <w:pPr>
        <w:pStyle w:val="BodyText"/>
      </w:pPr>
      <w:r>
        <w:drawing>
          <wp:inline>
            <wp:extent cx="5303520" cy="318211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results/Qwen-Qwen3-Embedding-8B/google_medgemma-27b-text-it/feature_importance/feature_importance_pca_sweep_random_forest_EMBEDD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182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S3. Continued on the next page.</w:t>
      </w:r>
    </w:p>
    <w:p>
      <w:pPr>
        <w:pStyle w:val="BodyText"/>
      </w:pPr>
      <w:r>
        <w:t xml:space="preserve">C Gradient boosting</w:t>
      </w:r>
    </w:p>
    <w:p>
      <w:pPr>
        <w:pStyle w:val="BodyText"/>
      </w:pPr>
      <w:r>
        <w:drawing>
          <wp:inline>
            <wp:extent cx="5303520" cy="318211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results/Qwen-Qwen3-Embedding-8B/google_medgemma-27b-text-it/feature_importance/feature_importance_pca_sweep_gradient_boosting_EMBEDD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182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 XGBoost</w:t>
      </w:r>
    </w:p>
    <w:p>
      <w:pPr>
        <w:pStyle w:val="BodyText"/>
      </w:pPr>
      <w:r>
        <w:drawing>
          <wp:inline>
            <wp:extent cx="5303520" cy="318211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results/Qwen-Qwen3-Embedding-8B/google_medgemma-27b-text-it/feature_importance/feature_importance_pca_sweep_xgboost_EMBEDD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182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S3. ROC AUC by retained principal components for logistic regression (A), random forest (B), gradient boosting (C), and XGBoost (D). The number of components is shown on a logarithmic scale. These are exploratory comparisons on the shared test set.</w:t>
      </w:r>
    </w:p>
    <w:bookmarkEnd w:id="28"/>
    <w:bookmarkEnd w:id="29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0" Target="media/rId20.png" /><Relationship Type="http://schemas.openxmlformats.org/officeDocument/2006/relationships/image" Id="rId26" Target="media/rId26.png" /><Relationship Type="http://schemas.openxmlformats.org/officeDocument/2006/relationships/image" Id="rId24" Target="media/rId24.png" /><Relationship Type="http://schemas.openxmlformats.org/officeDocument/2006/relationships/image" Id="rId25" Target="media/rId25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2026-09-29T00:36:04Z</dcterms:created>
  <dcterms:modified xsi:type="dcterms:W3CDTF">2026-09-29T00:36:04Z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