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2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7-record-length-and-prediction"/>
    <w:p>
      <w:pPr>
        <w:pStyle w:val="Heading1"/>
      </w:pPr>
      <w:r>
        <w:t xml:space="preserve">S7 Record Length and Prediction</w:t>
      </w:r>
    </w:p>
    <w:p>
      <w:pPr>
        <w:pStyle w:val="FirstParagraph"/>
      </w:pPr>
      <w:r>
        <w:t xml:space="preserve">We examined record volume descriptively by correlating the outcome with history length, encounter count, and the diagnosis-to-index interval, then assessed neighbor-prediction discrimination across history-length quintiles.</w:t>
      </w:r>
    </w:p>
    <w:p>
      <w:pPr>
        <w:pStyle w:val="BodyText"/>
      </w:pPr>
      <w:r>
        <w:t xml:space="preserve">Using the full recorded history, outcome correlations were small: Spearman ρ=−0.073 for pre-index history length, −0.064 for encounter count, and −0.029 for diagnosis-to-index interval. Same-day diagnosis and prescribing occurred in 27,906 patients with outcome frequency 18.4%, compared with 14,673 patients and 15.9% for delayed prescribing. These weak marginal relationships do not rule out care-process contributions to prediction.</w:t>
      </w:r>
    </w:p>
    <w:p>
      <w:pPr>
        <w:pStyle w:val="BodyText"/>
      </w:pPr>
      <w:r>
        <w:t xml:space="preserve">A Pre-index history length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pre_anchor_history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Diagnosis-to-index interval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S10. Continued on the next page.</w:t>
      </w:r>
    </w:p>
    <w:p>
      <w:pPr>
        <w:pStyle w:val="BodyText"/>
      </w:pPr>
      <w:r>
        <w:t xml:space="preserve">C Encounter count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num_encoun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Outcome frequency by prescription timing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trd_rate_by_delayed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S10. Record length, diagnosis-to-index interval, encounter count, and outcome frequency by prescription timing. A–C show outcome-stratified distributions; axes are truncated as labeled in the original plots. D compares same-day and delayed prescribing, with group counts above bars and the 17.5% cohort reference as a dashed line.</w:t>
      </w:r>
    </w:p>
    <w:p>
      <w:pPr>
        <w:pStyle w:val="BodyText"/>
      </w:pPr>
      <w:r>
        <w:t xml:space="preserve">The held-out test set was divided into quintiles of pre-index history length and the neighbor-weighted predictor was scored within each quintile. The primary retrieval arm, nearest retrieval at k = 50 under plain cosine similarity, is reported in Table S8.</w:t>
      </w:r>
    </w:p>
    <w:p>
      <w:pPr>
        <w:pStyle w:val="BodyText"/>
      </w:pPr>
      <w:r>
        <w:t xml:space="preserve">Table S8. Neighbor-weighted discrimination by quintile of pre-index history length (nearest retrieval, plain cosine similarity, k = 50, embedded representation, held-out test set). Quintile bounds are in days of pre-index history.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Pre-index history (days)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 AUC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731–1,110</w:t>
            </w:r>
          </w:p>
        </w:tc>
        <w:tc>
          <w:p>
            <w:pPr>
              <w:pStyle w:val="Compact"/>
              <w:jc w:val="left"/>
            </w:pPr>
            <w:r>
              <w:t xml:space="preserve">1,706</w:t>
            </w:r>
          </w:p>
        </w:tc>
        <w:tc>
          <w:p>
            <w:pPr>
              <w:pStyle w:val="Compact"/>
              <w:jc w:val="left"/>
            </w:pPr>
            <w:r>
              <w:t xml:space="preserve">0.580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1,110–1,554</w:t>
            </w:r>
          </w:p>
        </w:tc>
        <w:tc>
          <w:p>
            <w:pPr>
              <w:pStyle w:val="Compact"/>
              <w:jc w:val="left"/>
            </w:pPr>
            <w:r>
              <w:t xml:space="preserve">1,704</w:t>
            </w:r>
          </w:p>
        </w:tc>
        <w:tc>
          <w:p>
            <w:pPr>
              <w:pStyle w:val="Compact"/>
              <w:jc w:val="left"/>
            </w:pPr>
            <w:r>
              <w:t xml:space="preserve">0.598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1,554–2,066</w:t>
            </w:r>
          </w:p>
        </w:tc>
        <w:tc>
          <w:p>
            <w:pPr>
              <w:pStyle w:val="Compact"/>
              <w:jc w:val="left"/>
            </w:pPr>
            <w:r>
              <w:t xml:space="preserve">1,701</w:t>
            </w:r>
          </w:p>
        </w:tc>
        <w:tc>
          <w:p>
            <w:pPr>
              <w:pStyle w:val="Compact"/>
              <w:jc w:val="left"/>
            </w:pPr>
            <w:r>
              <w:t xml:space="preserve">0.582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2,066–2,733</w:t>
            </w:r>
          </w:p>
        </w:tc>
        <w:tc>
          <w:p>
            <w:pPr>
              <w:pStyle w:val="Compact"/>
              <w:jc w:val="left"/>
            </w:pPr>
            <w:r>
              <w:t xml:space="preserve">1,704</w:t>
            </w:r>
          </w:p>
        </w:tc>
        <w:tc>
          <w:p>
            <w:pPr>
              <w:pStyle w:val="Compact"/>
              <w:jc w:val="left"/>
            </w:pPr>
            <w:r>
              <w:t xml:space="preserve">0.610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2,733–5,288</w:t>
            </w:r>
          </w:p>
        </w:tc>
        <w:tc>
          <w:p>
            <w:pPr>
              <w:pStyle w:val="Compact"/>
              <w:jc w:val="left"/>
            </w:pPr>
            <w:r>
              <w:t xml:space="preserve">1,701</w:t>
            </w:r>
          </w:p>
        </w:tc>
        <w:tc>
          <w:p>
            <w:pPr>
              <w:pStyle w:val="Compact"/>
              <w:jc w:val="left"/>
            </w:pPr>
            <w:r>
              <w:t xml:space="preserve">0.578</w:t>
            </w:r>
          </w:p>
        </w:tc>
      </w:tr>
    </w:tbl>
    <w:p>
      <w:pPr>
        <w:pStyle w:val="BodyText"/>
      </w:pPr>
      <w:r>
        <w:t xml:space="preserve">AUC ranged from 0.578 to 0.610 across quintiles without a monotonic trend. This does not establish independence from record volume; differing case mix and imprecision within strata limit interpretation.</w:t>
      </w:r>
    </w:p>
    <w:p>
      <w:pPr>
        <w:pStyle w:val="BodyText"/>
      </w:pPr>
      <w:r>
        <w:t xml:space="preserve">The stratification covers neighbor prediction only, not the trained classifiers. Each quintile contained about 1,700 patients. An analysis by embedding-neighborhood density was not interpretable because 3 of 5 bins were empty.</w:t>
      </w:r>
    </w:p>
    <w:bookmarkEnd w:id="24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2026-09-29T00:36:07Z</dcterms:created>
  <dcterms:modified xsi:type="dcterms:W3CDTF">2026-09-29T00:36:07Z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