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a518fb6f86db204292aaffc1ae02b02d401201"/>
    <w:p>
      <w:pPr>
        <w:pStyle w:val="Heading1"/>
      </w:pPr>
      <w:r>
        <w:t xml:space="preserve">S11 Cohort Characteristics and Outcome Frequency</w:t>
      </w:r>
    </w:p>
    <w:p>
      <w:pPr>
        <w:pStyle w:val="FirstParagraph"/>
      </w:pPr>
      <w:r>
        <w:t xml:space="preserve">Within-subgroup outcome frequency divides positive patients by all patients in that subgroup. This differs from the outcome-conditioned column percentages in the cohort table below. All frequencies describe the enriched analytic sample.</w:t>
      </w:r>
    </w:p>
    <w:p>
      <w:pPr>
        <w:pStyle w:val="BodyText"/>
      </w:pPr>
      <w:r>
        <w:t xml:space="preserve">Outcome frequency was 18.0% among female and 16.2% among male patients. It declined across age groups: 20.6% at 18–29 years (1,135/5,513), 20.3% at 30–44 (1,836/9,025), 18.4% at 45–64 (2,445/13,268), and 13.8% at 65 or older (2,039/14,773). Selected social-determinant strata had higher frequencies: upbringing-related issues, 33.0%; legal issues, 26.1%; employment issues, 24.0%; and family or support-group issues, 22.9%. Small counts limit these comparisons. Missing race/ethnicity was associated with a frequency of 15.5% (46/297), versus 17.5% overall.</w:t>
      </w:r>
    </w:p>
    <w:p>
      <w:pPr>
        <w:pStyle w:val="BodyText"/>
      </w:pPr>
      <w:r>
        <w:t xml:space="preserve">Table S14. Expanded cohort characteristics by TRD proxy status. Values are median (IQR) or n (%); percentages within outcome columns use the corresponding outcome-group denominator. SMD: standardized mean difference; AD: antidepressant; ED: emergency department; MDD: major depressive disorder; PTSD: posttraumatic stress disorder. Total N=42,579; positive n=7,455; negative n=35,124.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TRD+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TRD−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Demographics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p>
            <w:pPr>
              <w:pStyle w:val="Compact"/>
              <w:jc w:val="left"/>
            </w:pPr>
            <w:r>
              <w:t xml:space="preserve">median (IQR)</w:t>
            </w:r>
          </w:p>
        </w:tc>
        <w:tc>
          <w:p>
            <w:pPr>
              <w:pStyle w:val="Compact"/>
              <w:jc w:val="left"/>
            </w:pPr>
            <w:r>
              <w:t xml:space="preserve">55 (38–70)</w:t>
            </w:r>
          </w:p>
        </w:tc>
        <w:tc>
          <w:p>
            <w:pPr>
              <w:pStyle w:val="Compact"/>
              <w:jc w:val="left"/>
            </w:pPr>
            <w:r>
              <w:t xml:space="preserve">51 (36–66)</w:t>
            </w:r>
          </w:p>
        </w:tc>
        <w:tc>
          <w:p>
            <w:pPr>
              <w:pStyle w:val="Compact"/>
              <w:jc w:val="left"/>
            </w:pPr>
            <w:r>
              <w:t xml:space="preserve">56 (39–71)</w:t>
            </w:r>
          </w:p>
        </w:tc>
        <w:tc>
          <w:p>
            <w:pPr>
              <w:pStyle w:val="Compact"/>
              <w:jc w:val="left"/>
            </w:pPr>
            <w:r>
              <w:t xml:space="preserve">−0.193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band</w:t>
            </w:r>
          </w:p>
        </w:tc>
        <w:tc>
          <w:p>
            <w:pPr>
              <w:pStyle w:val="Compact"/>
              <w:jc w:val="left"/>
            </w:pPr>
            <w:r>
              <w:t xml:space="preserve">18–29</w:t>
            </w:r>
          </w:p>
        </w:tc>
        <w:tc>
          <w:p>
            <w:pPr>
              <w:pStyle w:val="Compact"/>
              <w:jc w:val="left"/>
            </w:pPr>
            <w:r>
              <w:t xml:space="preserve">5,513 (12.9%)</w:t>
            </w:r>
          </w:p>
        </w:tc>
        <w:tc>
          <w:p>
            <w:pPr>
              <w:pStyle w:val="Compact"/>
              <w:jc w:val="left"/>
            </w:pPr>
            <w:r>
              <w:t xml:space="preserve">1,135 (15.2%)</w:t>
            </w:r>
          </w:p>
        </w:tc>
        <w:tc>
          <w:p>
            <w:pPr>
              <w:pStyle w:val="Compact"/>
              <w:jc w:val="left"/>
            </w:pPr>
            <w:r>
              <w:t xml:space="preserve">4,378 (12.5%)</w:t>
            </w:r>
          </w:p>
        </w:tc>
        <w:tc>
          <w:p>
            <w:pPr>
              <w:pStyle w:val="Compact"/>
              <w:jc w:val="left"/>
            </w:pPr>
            <w:r>
              <w:t xml:space="preserve">0.080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30–44</w:t>
            </w:r>
          </w:p>
        </w:tc>
        <w:tc>
          <w:p>
            <w:pPr>
              <w:pStyle w:val="Compact"/>
              <w:jc w:val="left"/>
            </w:pPr>
            <w:r>
              <w:t xml:space="preserve">9,025 (21.2%)</w:t>
            </w:r>
          </w:p>
        </w:tc>
        <w:tc>
          <w:p>
            <w:pPr>
              <w:pStyle w:val="Compact"/>
              <w:jc w:val="left"/>
            </w:pPr>
            <w:r>
              <w:t xml:space="preserve">1,836 (24.6%)</w:t>
            </w:r>
          </w:p>
        </w:tc>
        <w:tc>
          <w:p>
            <w:pPr>
              <w:pStyle w:val="Compact"/>
              <w:jc w:val="left"/>
            </w:pPr>
            <w:r>
              <w:t xml:space="preserve">7,189 (20.5%)</w:t>
            </w:r>
          </w:p>
        </w:tc>
        <w:tc>
          <w:p>
            <w:pPr>
              <w:pStyle w:val="Compact"/>
              <w:jc w:val="left"/>
            </w:pPr>
            <w:r>
              <w:t xml:space="preserve">0.100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45–64</w:t>
            </w:r>
          </w:p>
        </w:tc>
        <w:tc>
          <w:p>
            <w:pPr>
              <w:pStyle w:val="Compact"/>
              <w:jc w:val="left"/>
            </w:pPr>
            <w:r>
              <w:t xml:space="preserve">13,268 (31.2%)</w:t>
            </w:r>
          </w:p>
        </w:tc>
        <w:tc>
          <w:p>
            <w:pPr>
              <w:pStyle w:val="Compact"/>
              <w:jc w:val="left"/>
            </w:pPr>
            <w:r>
              <w:t xml:space="preserve">2,445 (32.8%)</w:t>
            </w:r>
          </w:p>
        </w:tc>
        <w:tc>
          <w:p>
            <w:pPr>
              <w:pStyle w:val="Compact"/>
              <w:jc w:val="left"/>
            </w:pPr>
            <w:r>
              <w:t xml:space="preserve">10,823 (30.8%)</w:t>
            </w:r>
          </w:p>
        </w:tc>
        <w:tc>
          <w:p>
            <w:pPr>
              <w:pStyle w:val="Compact"/>
              <w:jc w:val="left"/>
            </w:pPr>
            <w:r>
              <w:t xml:space="preserve">0.043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65+</w:t>
            </w:r>
          </w:p>
        </w:tc>
        <w:tc>
          <w:p>
            <w:pPr>
              <w:pStyle w:val="Compact"/>
              <w:jc w:val="left"/>
            </w:pPr>
            <w:r>
              <w:t xml:space="preserve">14,773 (34.7%)</w:t>
            </w:r>
          </w:p>
        </w:tc>
        <w:tc>
          <w:p>
            <w:pPr>
              <w:pStyle w:val="Compact"/>
              <w:jc w:val="left"/>
            </w:pPr>
            <w:r>
              <w:t xml:space="preserve">2,039 (27.4%)</w:t>
            </w:r>
          </w:p>
        </w:tc>
        <w:tc>
          <w:p>
            <w:pPr>
              <w:pStyle w:val="Compact"/>
              <w:jc w:val="left"/>
            </w:pPr>
            <w:r>
              <w:t xml:space="preserve">12,734 (36.3%)</w:t>
            </w:r>
          </w:p>
        </w:tc>
        <w:tc>
          <w:p>
            <w:pPr>
              <w:pStyle w:val="Compact"/>
              <w:jc w:val="left"/>
            </w:pPr>
            <w:r>
              <w:t xml:space="preserve">−0.192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p>
            <w:pPr>
              <w:pStyle w:val="Compact"/>
              <w:jc w:val="left"/>
            </w:pPr>
            <w:r>
              <w:t xml:space="preserve">30,850 (72.5%)</w:t>
            </w:r>
          </w:p>
        </w:tc>
        <w:tc>
          <w:p>
            <w:pPr>
              <w:pStyle w:val="Compact"/>
              <w:jc w:val="left"/>
            </w:pPr>
            <w:r>
              <w:t xml:space="preserve">5,552 (74.5%)</w:t>
            </w:r>
          </w:p>
        </w:tc>
        <w:tc>
          <w:p>
            <w:pPr>
              <w:pStyle w:val="Compact"/>
              <w:jc w:val="left"/>
            </w:pPr>
            <w:r>
              <w:t xml:space="preserve">25,298 (72.0%)</w:t>
            </w:r>
          </w:p>
        </w:tc>
        <w:tc>
          <w:p>
            <w:pPr>
              <w:pStyle w:val="Compact"/>
              <w:jc w:val="left"/>
            </w:pPr>
            <w:r>
              <w:t xml:space="preserve">0.055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Race/ethnicity</w:t>
            </w:r>
          </w:p>
        </w:tc>
        <w:tc>
          <w:p>
            <w:pPr>
              <w:pStyle w:val="Compact"/>
              <w:jc w:val="left"/>
            </w:pPr>
            <w:r>
              <w:t xml:space="preserve">White/Caucasian</w:t>
            </w:r>
          </w:p>
        </w:tc>
        <w:tc>
          <w:p>
            <w:pPr>
              <w:pStyle w:val="Compact"/>
              <w:jc w:val="left"/>
            </w:pPr>
            <w:r>
              <w:t xml:space="preserve">34,079 (80.0%)</w:t>
            </w:r>
          </w:p>
        </w:tc>
        <w:tc>
          <w:p>
            <w:pPr>
              <w:pStyle w:val="Compact"/>
              <w:jc w:val="left"/>
            </w:pPr>
            <w:r>
              <w:t xml:space="preserve">5,942 (79.7%)</w:t>
            </w:r>
          </w:p>
        </w:tc>
        <w:tc>
          <w:p>
            <w:pPr>
              <w:pStyle w:val="Compact"/>
              <w:jc w:val="left"/>
            </w:pPr>
            <w:r>
              <w:t xml:space="preserve">28,137 (80.1%)</w:t>
            </w:r>
          </w:p>
        </w:tc>
        <w:tc>
          <w:p>
            <w:pPr>
              <w:pStyle w:val="Compact"/>
              <w:jc w:val="left"/>
            </w:pPr>
            <w:r>
              <w:t xml:space="preserve">−0.010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Black/African American</w:t>
            </w:r>
          </w:p>
        </w:tc>
        <w:tc>
          <w:p>
            <w:pPr>
              <w:pStyle w:val="Compact"/>
              <w:jc w:val="left"/>
            </w:pPr>
            <w:r>
              <w:t xml:space="preserve">2,368 (5.6%)</w:t>
            </w:r>
          </w:p>
        </w:tc>
        <w:tc>
          <w:p>
            <w:pPr>
              <w:pStyle w:val="Compact"/>
              <w:jc w:val="left"/>
            </w:pPr>
            <w:r>
              <w:t xml:space="preserve">401 (5.4%)</w:t>
            </w:r>
          </w:p>
        </w:tc>
        <w:tc>
          <w:p>
            <w:pPr>
              <w:pStyle w:val="Compact"/>
              <w:jc w:val="left"/>
            </w:pPr>
            <w:r>
              <w:t xml:space="preserve">1,967 (5.6%)</w:t>
            </w:r>
          </w:p>
        </w:tc>
        <w:tc>
          <w:p>
            <w:pPr>
              <w:pStyle w:val="Compact"/>
              <w:jc w:val="left"/>
            </w:pPr>
            <w:r>
              <w:t xml:space="preserve">−0.010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Am. Indian/Alaska Native</w:t>
            </w:r>
          </w:p>
        </w:tc>
        <w:tc>
          <w:p>
            <w:pPr>
              <w:pStyle w:val="Compact"/>
              <w:jc w:val="left"/>
            </w:pPr>
            <w:r>
              <w:t xml:space="preserve">2,033 (4.8%)</w:t>
            </w:r>
          </w:p>
        </w:tc>
        <w:tc>
          <w:p>
            <w:pPr>
              <w:pStyle w:val="Compact"/>
              <w:jc w:val="left"/>
            </w:pPr>
            <w:r>
              <w:t xml:space="preserve">394 (5.3%)</w:t>
            </w:r>
          </w:p>
        </w:tc>
        <w:tc>
          <w:p>
            <w:pPr>
              <w:pStyle w:val="Compact"/>
              <w:jc w:val="left"/>
            </w:pPr>
            <w:r>
              <w:t xml:space="preserve">1,639 (4.7%)</w:t>
            </w:r>
          </w:p>
        </w:tc>
        <w:tc>
          <w:p>
            <w:pPr>
              <w:pStyle w:val="Compact"/>
              <w:jc w:val="left"/>
            </w:pPr>
            <w:r>
              <w:t xml:space="preserve">0.028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p>
            <w:pPr>
              <w:pStyle w:val="Compact"/>
              <w:jc w:val="left"/>
            </w:pPr>
            <w:r>
              <w:t xml:space="preserve">297 (0.7%)</w:t>
            </w:r>
          </w:p>
        </w:tc>
        <w:tc>
          <w:p>
            <w:pPr>
              <w:pStyle w:val="Compact"/>
              <w:jc w:val="left"/>
            </w:pPr>
            <w:r>
              <w:t xml:space="preserve">46 (0.6%)</w:t>
            </w:r>
          </w:p>
        </w:tc>
        <w:tc>
          <w:p>
            <w:pPr>
              <w:pStyle w:val="Compact"/>
              <w:jc w:val="left"/>
            </w:pPr>
            <w:r>
              <w:t xml:space="preserve">251 (0.7%)</w:t>
            </w:r>
          </w:p>
        </w:tc>
        <w:tc>
          <w:p>
            <w:pPr>
              <w:pStyle w:val="Compact"/>
              <w:jc w:val="left"/>
            </w:pPr>
            <w:r>
              <w:t xml:space="preserve">−0.012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Depression phenotype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MDD recurrence</w:t>
            </w:r>
          </w:p>
        </w:tc>
        <w:tc>
          <w:p>
            <w:pPr>
              <w:pStyle w:val="Compact"/>
              <w:jc w:val="left"/>
            </w:pPr>
            <w:r>
              <w:t xml:space="preserve">Recurrent</w:t>
            </w:r>
          </w:p>
        </w:tc>
        <w:tc>
          <w:p>
            <w:pPr>
              <w:pStyle w:val="Compact"/>
              <w:jc w:val="left"/>
            </w:pPr>
            <w:r>
              <w:t xml:space="preserve">11,213 (26.3%)</w:t>
            </w:r>
          </w:p>
        </w:tc>
        <w:tc>
          <w:p>
            <w:pPr>
              <w:pStyle w:val="Compact"/>
              <w:jc w:val="left"/>
            </w:pPr>
            <w:r>
              <w:t xml:space="preserve">2,189 (29.4%)</w:t>
            </w:r>
          </w:p>
        </w:tc>
        <w:tc>
          <w:p>
            <w:pPr>
              <w:pStyle w:val="Compact"/>
              <w:jc w:val="left"/>
            </w:pPr>
            <w:r>
              <w:t xml:space="preserve">9,024 (25.7%)</w:t>
            </w:r>
          </w:p>
        </w:tc>
        <w:tc>
          <w:p>
            <w:pPr>
              <w:pStyle w:val="Compact"/>
              <w:jc w:val="left"/>
            </w:pPr>
            <w:r>
              <w:t xml:space="preserve">0.082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Single episode</w:t>
            </w:r>
          </w:p>
        </w:tc>
        <w:tc>
          <w:p>
            <w:pPr>
              <w:pStyle w:val="Compact"/>
              <w:jc w:val="left"/>
            </w:pPr>
            <w:r>
              <w:t xml:space="preserve">28,206 (66.2%)</w:t>
            </w:r>
          </w:p>
        </w:tc>
        <w:tc>
          <w:p>
            <w:pPr>
              <w:pStyle w:val="Compact"/>
              <w:jc w:val="left"/>
            </w:pPr>
            <w:r>
              <w:t xml:space="preserve">4,721 (63.3%)</w:t>
            </w:r>
          </w:p>
        </w:tc>
        <w:tc>
          <w:p>
            <w:pPr>
              <w:pStyle w:val="Compact"/>
              <w:jc w:val="left"/>
            </w:pPr>
            <w:r>
              <w:t xml:space="preserve">23,485 (66.9%)</w:t>
            </w:r>
          </w:p>
        </w:tc>
        <w:tc>
          <w:p>
            <w:pPr>
              <w:pStyle w:val="Compact"/>
              <w:jc w:val="left"/>
            </w:pPr>
            <w:r>
              <w:t xml:space="preserve">−0.074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</w:t>
            </w:r>
          </w:p>
        </w:tc>
        <w:tc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p>
            <w:pPr>
              <w:pStyle w:val="Compact"/>
              <w:jc w:val="left"/>
            </w:pPr>
            <w:r>
              <w:t xml:space="preserve">2,286 (5.4%)</w:t>
            </w:r>
          </w:p>
        </w:tc>
        <w:tc>
          <w:p>
            <w:pPr>
              <w:pStyle w:val="Compact"/>
              <w:jc w:val="left"/>
            </w:pPr>
            <w:r>
              <w:t xml:space="preserve">720 (9.7%)</w:t>
            </w:r>
          </w:p>
        </w:tc>
        <w:tc>
          <w:p>
            <w:pPr>
              <w:pStyle w:val="Compact"/>
              <w:jc w:val="left"/>
            </w:pPr>
            <w:r>
              <w:t xml:space="preserve">1,566 (4.5%)</w:t>
            </w:r>
          </w:p>
        </w:tc>
        <w:tc>
          <w:p>
            <w:pPr>
              <w:pStyle w:val="Compact"/>
              <w:jc w:val="left"/>
            </w:pPr>
            <w:r>
              <w:t xml:space="preserve">0.204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7,233 (17.0%)</w:t>
            </w:r>
          </w:p>
        </w:tc>
        <w:tc>
          <w:p>
            <w:pPr>
              <w:pStyle w:val="Compact"/>
              <w:jc w:val="left"/>
            </w:pPr>
            <w:r>
              <w:t xml:space="preserve">1,300 (17.4%)</w:t>
            </w:r>
          </w:p>
        </w:tc>
        <w:tc>
          <w:p>
            <w:pPr>
              <w:pStyle w:val="Compact"/>
              <w:jc w:val="left"/>
            </w:pPr>
            <w:r>
              <w:t xml:space="preserve">5,933 (16.9%)</w:t>
            </w:r>
          </w:p>
        </w:tc>
        <w:tc>
          <w:p>
            <w:pPr>
              <w:pStyle w:val="Compact"/>
              <w:jc w:val="left"/>
            </w:pPr>
            <w:r>
              <w:t xml:space="preserve">0.014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Psychotic</w:t>
            </w:r>
          </w:p>
        </w:tc>
        <w:tc>
          <w:p>
            <w:pPr>
              <w:pStyle w:val="Compact"/>
              <w:jc w:val="left"/>
            </w:pPr>
            <w:r>
              <w:t xml:space="preserve">112 (0.3%)</w:t>
            </w:r>
          </w:p>
        </w:tc>
        <w:tc>
          <w:p>
            <w:pPr>
              <w:pStyle w:val="Compact"/>
              <w:jc w:val="left"/>
            </w:pPr>
            <w:r>
              <w:t xml:space="preserve">35 (0.5%)</w:t>
            </w:r>
          </w:p>
        </w:tc>
        <w:tc>
          <w:p>
            <w:pPr>
              <w:pStyle w:val="Compact"/>
              <w:jc w:val="left"/>
            </w:pPr>
            <w:r>
              <w:t xml:space="preserve">77 (0.2%)</w:t>
            </w:r>
          </w:p>
        </w:tc>
        <w:tc>
          <w:p>
            <w:pPr>
              <w:pStyle w:val="Compact"/>
              <w:jc w:val="left"/>
            </w:pPr>
            <w:r>
              <w:t xml:space="preserve">0.043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Unspecified</w:t>
            </w:r>
          </w:p>
        </w:tc>
        <w:tc>
          <w:p>
            <w:pPr>
              <w:pStyle w:val="Compact"/>
              <w:jc w:val="left"/>
            </w:pPr>
            <w:r>
              <w:t xml:space="preserve">28,951 (68.0%)</w:t>
            </w:r>
          </w:p>
        </w:tc>
        <w:tc>
          <w:p>
            <w:pPr>
              <w:pStyle w:val="Compact"/>
              <w:jc w:val="left"/>
            </w:pPr>
            <w:r>
              <w:t xml:space="preserve">4,803 (64.4%)</w:t>
            </w:r>
          </w:p>
        </w:tc>
        <w:tc>
          <w:p>
            <w:pPr>
              <w:pStyle w:val="Compact"/>
              <w:jc w:val="left"/>
            </w:pPr>
            <w:r>
              <w:t xml:space="preserve">24,148 (68.8%)</w:t>
            </w:r>
          </w:p>
        </w:tc>
        <w:tc>
          <w:p>
            <w:pPr>
              <w:pStyle w:val="Compact"/>
              <w:jc w:val="left"/>
            </w:pPr>
            <w:r>
              <w:t xml:space="preserve">−0.092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Psychiatric and substance comorbidity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Suicidality flagged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1,753 (4.1%)</w:t>
            </w:r>
          </w:p>
        </w:tc>
        <w:tc>
          <w:p>
            <w:pPr>
              <w:pStyle w:val="Compact"/>
              <w:jc w:val="left"/>
            </w:pPr>
            <w:r>
              <w:t xml:space="preserve">641 (8.6%)</w:t>
            </w:r>
          </w:p>
        </w:tc>
        <w:tc>
          <w:p>
            <w:pPr>
              <w:pStyle w:val="Compact"/>
              <w:jc w:val="left"/>
            </w:pPr>
            <w:r>
              <w:t xml:space="preserve">1,112 (3.2%)</w:t>
            </w:r>
          </w:p>
        </w:tc>
        <w:tc>
          <w:p>
            <w:pPr>
              <w:pStyle w:val="Compact"/>
              <w:jc w:val="left"/>
            </w:pPr>
            <w:r>
              <w:t xml:space="preserve">0.232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Anxiety disorder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22,401 (52.6%)</w:t>
            </w:r>
          </w:p>
        </w:tc>
        <w:tc>
          <w:p>
            <w:pPr>
              <w:pStyle w:val="Compact"/>
              <w:jc w:val="left"/>
            </w:pPr>
            <w:r>
              <w:t xml:space="preserve">4,499 (60.3%)</w:t>
            </w:r>
          </w:p>
        </w:tc>
        <w:tc>
          <w:p>
            <w:pPr>
              <w:pStyle w:val="Compact"/>
              <w:jc w:val="left"/>
            </w:pPr>
            <w:r>
              <w:t xml:space="preserve">17,902 (51.0%)</w:t>
            </w:r>
          </w:p>
        </w:tc>
        <w:tc>
          <w:p>
            <w:pPr>
              <w:pStyle w:val="Compact"/>
              <w:jc w:val="left"/>
            </w:pPr>
            <w:r>
              <w:t xml:space="preserve">0.190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Substance use disorder (any)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9,265 (21.8%)</w:t>
            </w:r>
          </w:p>
        </w:tc>
        <w:tc>
          <w:p>
            <w:pPr>
              <w:pStyle w:val="Compact"/>
              <w:jc w:val="left"/>
            </w:pPr>
            <w:r>
              <w:t xml:space="preserve">2,006 (26.9%)</w:t>
            </w:r>
          </w:p>
        </w:tc>
        <w:tc>
          <w:p>
            <w:pPr>
              <w:pStyle w:val="Compact"/>
              <w:jc w:val="left"/>
            </w:pPr>
            <w:r>
              <w:t xml:space="preserve">7,259 (20.7%)</w:t>
            </w:r>
          </w:p>
        </w:tc>
        <w:tc>
          <w:p>
            <w:pPr>
              <w:pStyle w:val="Compact"/>
              <w:jc w:val="left"/>
            </w:pPr>
            <w:r>
              <w:t xml:space="preserve">0.147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Insomnia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9,350 (22.0%)</w:t>
            </w:r>
          </w:p>
        </w:tc>
        <w:tc>
          <w:p>
            <w:pPr>
              <w:pStyle w:val="Compact"/>
              <w:jc w:val="left"/>
            </w:pPr>
            <w:r>
              <w:t xml:space="preserve">2,021 (27.1%)</w:t>
            </w:r>
          </w:p>
        </w:tc>
        <w:tc>
          <w:p>
            <w:pPr>
              <w:pStyle w:val="Compact"/>
              <w:jc w:val="left"/>
            </w:pPr>
            <w:r>
              <w:t xml:space="preserve">7,329 (20.9%)</w:t>
            </w:r>
          </w:p>
        </w:tc>
        <w:tc>
          <w:p>
            <w:pPr>
              <w:pStyle w:val="Compact"/>
              <w:jc w:val="left"/>
            </w:pPr>
            <w:r>
              <w:t xml:space="preserve">0.147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PTSD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1,541 (3.6%)</w:t>
            </w:r>
          </w:p>
        </w:tc>
        <w:tc>
          <w:p>
            <w:pPr>
              <w:pStyle w:val="Compact"/>
              <w:jc w:val="left"/>
            </w:pPr>
            <w:r>
              <w:t xml:space="preserve">450 (6.0%)</w:t>
            </w:r>
          </w:p>
        </w:tc>
        <w:tc>
          <w:p>
            <w:pPr>
              <w:pStyle w:val="Compact"/>
              <w:jc w:val="left"/>
            </w:pPr>
            <w:r>
              <w:t xml:space="preserve">1,091 (3.1%)</w:t>
            </w:r>
          </w:p>
        </w:tc>
        <w:tc>
          <w:p>
            <w:pPr>
              <w:pStyle w:val="Compact"/>
              <w:jc w:val="left"/>
            </w:pPr>
            <w:r>
              <w:t xml:space="preserve">0.141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Alcohol use disorder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1,875 (4.4%)</w:t>
            </w:r>
          </w:p>
        </w:tc>
        <w:tc>
          <w:p>
            <w:pPr>
              <w:pStyle w:val="Compact"/>
              <w:jc w:val="left"/>
            </w:pPr>
            <w:r>
              <w:t xml:space="preserve">501 (6.7%)</w:t>
            </w:r>
          </w:p>
        </w:tc>
        <w:tc>
          <w:p>
            <w:pPr>
              <w:pStyle w:val="Compact"/>
              <w:jc w:val="left"/>
            </w:pPr>
            <w:r>
              <w:t xml:space="preserve">1,374 (3.9%)</w:t>
            </w:r>
          </w:p>
        </w:tc>
        <w:tc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Opioid use disorder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1,281 (3.0%)</w:t>
            </w:r>
          </w:p>
        </w:tc>
        <w:tc>
          <w:p>
            <w:pPr>
              <w:pStyle w:val="Compact"/>
              <w:jc w:val="left"/>
            </w:pPr>
            <w:r>
              <w:t xml:space="preserve">337 (4.5%)</w:t>
            </w:r>
          </w:p>
        </w:tc>
        <w:tc>
          <w:p>
            <w:pPr>
              <w:pStyle w:val="Compact"/>
              <w:jc w:val="left"/>
            </w:pPr>
            <w:r>
              <w:t xml:space="preserve">944 (2.7%)</w:t>
            </w:r>
          </w:p>
        </w:tc>
        <w:tc>
          <w:p>
            <w:pPr>
              <w:pStyle w:val="Compact"/>
              <w:jc w:val="left"/>
            </w:pPr>
            <w:r>
              <w:t xml:space="preserve">0.098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Adjustment disorder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2,918 (6.9%)</w:t>
            </w:r>
          </w:p>
        </w:tc>
        <w:tc>
          <w:p>
            <w:pPr>
              <w:pStyle w:val="Compact"/>
              <w:jc w:val="left"/>
            </w:pPr>
            <w:r>
              <w:t xml:space="preserve">663 (8.9%)</w:t>
            </w:r>
          </w:p>
        </w:tc>
        <w:tc>
          <w:p>
            <w:pPr>
              <w:pStyle w:val="Compact"/>
              <w:jc w:val="left"/>
            </w:pPr>
            <w:r>
              <w:t xml:space="preserve">2,255 (6.4%)</w:t>
            </w:r>
          </w:p>
        </w:tc>
        <w:tc>
          <w:p>
            <w:pPr>
              <w:pStyle w:val="Compact"/>
              <w:jc w:val="left"/>
            </w:pPr>
            <w:r>
              <w:t xml:space="preserve">0.093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Medical comorbidity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High cholesterol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15,747 (37.0%)</w:t>
            </w:r>
          </w:p>
        </w:tc>
        <w:tc>
          <w:p>
            <w:pPr>
              <w:pStyle w:val="Compact"/>
              <w:jc w:val="left"/>
            </w:pPr>
            <w:r>
              <w:t xml:space="preserve">2,202 (29.5%)</w:t>
            </w:r>
          </w:p>
        </w:tc>
        <w:tc>
          <w:p>
            <w:pPr>
              <w:pStyle w:val="Compact"/>
              <w:jc w:val="left"/>
            </w:pPr>
            <w:r>
              <w:t xml:space="preserve">13,545 (38.6%)</w:t>
            </w:r>
          </w:p>
        </w:tc>
        <w:tc>
          <w:p>
            <w:pPr>
              <w:pStyle w:val="Compact"/>
              <w:jc w:val="left"/>
            </w:pPr>
            <w:r>
              <w:t xml:space="preserve">−0.191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Uncontrolled hypertension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15,680 (36.8%)</w:t>
            </w:r>
          </w:p>
        </w:tc>
        <w:tc>
          <w:p>
            <w:pPr>
              <w:pStyle w:val="Compact"/>
              <w:jc w:val="left"/>
            </w:pPr>
            <w:r>
              <w:t xml:space="preserve">2,366 (31.7%)</w:t>
            </w:r>
          </w:p>
        </w:tc>
        <w:tc>
          <w:p>
            <w:pPr>
              <w:pStyle w:val="Compact"/>
              <w:jc w:val="left"/>
            </w:pPr>
            <w:r>
              <w:t xml:space="preserve">13,314 (37.9%)</w:t>
            </w:r>
          </w:p>
        </w:tc>
        <w:tc>
          <w:p>
            <w:pPr>
              <w:pStyle w:val="Compact"/>
              <w:jc w:val="left"/>
            </w:pPr>
            <w:r>
              <w:t xml:space="preserve">−0.130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Treatment and utilization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Active med count</w:t>
            </w:r>
          </w:p>
        </w:tc>
        <w:tc>
          <w:p>
            <w:pPr>
              <w:pStyle w:val="Compact"/>
              <w:jc w:val="left"/>
            </w:pPr>
            <w:r>
              <w:t xml:space="preserve">median (IQR)</w:t>
            </w:r>
          </w:p>
        </w:tc>
        <w:tc>
          <w:p>
            <w:pPr>
              <w:pStyle w:val="Compact"/>
              <w:jc w:val="left"/>
            </w:pPr>
            <w:r>
              <w:t xml:space="preserve">1 (0–2)</w:t>
            </w:r>
          </w:p>
        </w:tc>
        <w:tc>
          <w:p>
            <w:pPr>
              <w:pStyle w:val="Compact"/>
              <w:jc w:val="left"/>
            </w:pPr>
            <w:r>
              <w:t xml:space="preserve">1 (0–2)</w:t>
            </w:r>
          </w:p>
        </w:tc>
        <w:tc>
          <w:p>
            <w:pPr>
              <w:pStyle w:val="Compact"/>
              <w:jc w:val="left"/>
            </w:pPr>
            <w:r>
              <w:t xml:space="preserve">1 (0–2)</w:t>
            </w:r>
          </w:p>
        </w:tc>
        <w:tc>
          <w:p>
            <w:pPr>
              <w:pStyle w:val="Compact"/>
              <w:jc w:val="left"/>
            </w:pPr>
            <w:r>
              <w:t xml:space="preserve">0.084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 count</w:t>
            </w:r>
          </w:p>
        </w:tc>
        <w:tc>
          <w:p>
            <w:pPr>
              <w:pStyle w:val="Compact"/>
              <w:jc w:val="left"/>
            </w:pPr>
            <w:r>
              <w:t xml:space="preserve">median (IQR)</w:t>
            </w:r>
          </w:p>
        </w:tc>
        <w:tc>
          <w:p>
            <w:pPr>
              <w:pStyle w:val="Compact"/>
              <w:jc w:val="left"/>
            </w:pPr>
            <w:r>
              <w:t xml:space="preserve">21 (8–46)</w:t>
            </w:r>
          </w:p>
        </w:tc>
        <w:tc>
          <w:p>
            <w:pPr>
              <w:pStyle w:val="Compact"/>
              <w:jc w:val="left"/>
            </w:pPr>
            <w:r>
              <w:t xml:space="preserve">17 (6–40)</w:t>
            </w:r>
          </w:p>
        </w:tc>
        <w:tc>
          <w:p>
            <w:pPr>
              <w:pStyle w:val="Compact"/>
              <w:jc w:val="left"/>
            </w:pPr>
            <w:r>
              <w:t xml:space="preserve">21 (8–47)</w:t>
            </w:r>
          </w:p>
        </w:tc>
        <w:tc>
          <w:p>
            <w:pPr>
              <w:pStyle w:val="Compact"/>
              <w:jc w:val="left"/>
            </w:pPr>
            <w:r>
              <w:t xml:space="preserve">−0.140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Pre-index history (days)</w:t>
            </w:r>
          </w:p>
        </w:tc>
        <w:tc>
          <w:p>
            <w:pPr>
              <w:pStyle w:val="Compact"/>
              <w:jc w:val="left"/>
            </w:pPr>
            <w:r>
              <w:t xml:space="preserve">median (IQR)</w:t>
            </w:r>
          </w:p>
        </w:tc>
        <w:tc>
          <w:p>
            <w:pPr>
              <w:pStyle w:val="Compact"/>
              <w:jc w:val="left"/>
            </w:pPr>
            <w:r>
              <w:t xml:space="preserve">1,792 (1,216–2,546)</w:t>
            </w:r>
          </w:p>
        </w:tc>
        <w:tc>
          <w:p>
            <w:pPr>
              <w:pStyle w:val="Compact"/>
              <w:jc w:val="left"/>
            </w:pPr>
            <w:r>
              <w:t xml:space="preserve">1,629 (1,141–2,335)</w:t>
            </w:r>
          </w:p>
        </w:tc>
        <w:tc>
          <w:p>
            <w:pPr>
              <w:pStyle w:val="Compact"/>
              <w:jc w:val="left"/>
            </w:pPr>
            <w:r>
              <w:t xml:space="preserve">1,830 (1,239–2,587)</w:t>
            </w:r>
          </w:p>
        </w:tc>
        <w:tc>
          <w:p>
            <w:pPr>
              <w:pStyle w:val="Compact"/>
              <w:jc w:val="left"/>
            </w:pPr>
            <w:r>
              <w:t xml:space="preserve">−0.198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Any prior treatment exposure recorded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10,230 (24.0%)</w:t>
            </w:r>
          </w:p>
        </w:tc>
        <w:tc>
          <w:p>
            <w:pPr>
              <w:pStyle w:val="Compact"/>
              <w:jc w:val="left"/>
            </w:pPr>
            <w:r>
              <w:t xml:space="preserve">1,793 (24.1%)</w:t>
            </w:r>
          </w:p>
        </w:tc>
        <w:tc>
          <w:p>
            <w:pPr>
              <w:pStyle w:val="Compact"/>
              <w:jc w:val="left"/>
            </w:pPr>
            <w:r>
              <w:t xml:space="preserve">8,437 (24.0%)</w:t>
            </w:r>
          </w:p>
        </w:tc>
        <w:tc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 adequate AD trial (any class)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6,276 (14.7%)</w:t>
            </w:r>
          </w:p>
        </w:tc>
        <w:tc>
          <w:p>
            <w:pPr>
              <w:pStyle w:val="Compact"/>
              <w:jc w:val="left"/>
            </w:pPr>
            <w:r>
              <w:t xml:space="preserve">1,050 (14.1%)</w:t>
            </w:r>
          </w:p>
        </w:tc>
        <w:tc>
          <w:p>
            <w:pPr>
              <w:pStyle w:val="Compact"/>
              <w:jc w:val="left"/>
            </w:pPr>
            <w:r>
              <w:t xml:space="preserve">5,226 (14.9%)</w:t>
            </w:r>
          </w:p>
        </w:tc>
        <w:tc>
          <w:p>
            <w:pPr>
              <w:pStyle w:val="Compact"/>
              <w:jc w:val="left"/>
            </w:pPr>
            <w:r>
              <w:t xml:space="preserve">−0.023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Benzodiazepine days recorded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4,724 (11.1%)</w:t>
            </w:r>
          </w:p>
        </w:tc>
        <w:tc>
          <w:p>
            <w:pPr>
              <w:pStyle w:val="Compact"/>
              <w:jc w:val="left"/>
            </w:pPr>
            <w:r>
              <w:t xml:space="preserve">989 (13.3%)</w:t>
            </w:r>
          </w:p>
        </w:tc>
        <w:tc>
          <w:p>
            <w:pPr>
              <w:pStyle w:val="Compact"/>
              <w:jc w:val="left"/>
            </w:pPr>
            <w:r>
              <w:t xml:space="preserve">3,735 (10.6%)</w:t>
            </w:r>
          </w:p>
        </w:tc>
        <w:tc>
          <w:p>
            <w:pPr>
              <w:pStyle w:val="Compact"/>
              <w:jc w:val="left"/>
            </w:pPr>
            <w:r>
              <w:t xml:space="preserve">0.081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Hypnotic recorded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1,661 (3.9%)</w:t>
            </w:r>
          </w:p>
        </w:tc>
        <w:tc>
          <w:p>
            <w:pPr>
              <w:pStyle w:val="Compact"/>
              <w:jc w:val="left"/>
            </w:pPr>
            <w:r>
              <w:t xml:space="preserve">292 (3.9%)</w:t>
            </w:r>
          </w:p>
        </w:tc>
        <w:tc>
          <w:p>
            <w:pPr>
              <w:pStyle w:val="Compact"/>
              <w:jc w:val="left"/>
            </w:pPr>
            <w:r>
              <w:t xml:space="preserve">1,369 (3.9%)</w:t>
            </w:r>
          </w:p>
        </w:tc>
        <w:tc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Augmentation therapy used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422 (1.0%)</w:t>
            </w:r>
          </w:p>
        </w:tc>
        <w:tc>
          <w:p>
            <w:pPr>
              <w:pStyle w:val="Compact"/>
              <w:jc w:val="left"/>
            </w:pPr>
            <w:r>
              <w:t xml:space="preserve">108 (1.4%)</w:t>
            </w:r>
          </w:p>
        </w:tc>
        <w:tc>
          <w:p>
            <w:pPr>
              <w:pStyle w:val="Compact"/>
              <w:jc w:val="left"/>
            </w:pPr>
            <w:r>
              <w:t xml:space="preserve">314 (0.9%)</w:t>
            </w:r>
          </w:p>
        </w:tc>
        <w:tc>
          <w:p>
            <w:pPr>
              <w:pStyle w:val="Compact"/>
              <w:jc w:val="left"/>
            </w:pPr>
            <w:r>
              <w:t xml:space="preserve">0.052</w:t>
            </w:r>
          </w:p>
        </w:tc>
      </w:tr>
    </w:tbl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2026-09-29T00:36:08Z</dcterms:created>
  <dcterms:modified xsi:type="dcterms:W3CDTF">2026-09-29T00:36:08Z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