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2.png" ContentType="image/png"/>
  <Override PartName="/word/media/rId23.png" ContentType="image/png"/>
  <Override PartName="/word/media/rId27.png" ContentType="image/png"/>
  <Override PartName="/word/media/rId25.png" ContentType="image/png"/>
  <Override PartName="/word/media/rId26.png" ContentType="image/png"/>
  <Override PartName="/word/media/rId28.png" ContentType="image/png"/>
  <Override PartName="/word/media/rId2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3b319a28540a2eebde7c4dc81a578fb022a8db8"/>
    <w:p>
      <w:pPr>
        <w:pStyle w:val="Heading1"/>
      </w:pPr>
      <w:r>
        <w:t xml:space="preserve">S12 Additional Model Diagnostics and Encoder Estimates</w:t>
      </w:r>
    </w:p>
    <w:bookmarkStart w:id="24"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2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24"/>
    <w:bookmarkStart w:id="29"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2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26"/>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27"/>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28"/>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29"/>
    <w:bookmarkStart w:id="31"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0.024–0.028 across classifiers; all paired CIs excluded zero. Medication burden reduced AUC by 0.003–0.027, with CIs excluding zero for 3 classifiers. Prior treatment reduced embedded logistic-regression AUC by 0.019 and the other models by 0.000–0.011, with CIs excluding zero for logistic regression and XGBoost. Among the remaining concepts, only the XGBoost contraindication contrast excluded zero (−0.005; 95% CI −0.008 to −0.001). Main-text Table 3 gives point differences;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30"/>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0.027–0.030 and medication-burden permutation by 0.022–0.034, with all paired CIs excluding zero. Medication burden exceeded psychiatric history in bge-en-icl (−0.034 versus −0.027);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31"/>
    <w:bookmarkEnd w:id="32"/>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2026-09-29T00:36:08Z</dcterms:created>
  <dcterms:modified xsi:type="dcterms:W3CDTF">2026-09-29T00:36:08Z</dcterms:modified>
</cp:coreProperties>
</file>

<file path=docProps/custom.xml><?xml version="1.0" encoding="utf-8"?>
<Properties xmlns="http://schemas.openxmlformats.org/officeDocument/2006/custom-properties" xmlns:vt="http://schemas.openxmlformats.org/officeDocument/2006/docPropsVTypes"/>
</file>