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ferences"/>
    <w:p>
      <w:pPr>
        <w:pStyle w:val="Heading1"/>
      </w:pPr>
      <w:r>
        <w:t xml:space="preserve">References</w:t>
      </w:r>
    </w:p>
    <w:p>
      <w:pPr>
        <w:pStyle w:val="FirstParagraph"/>
      </w:pPr>
      <w:r>
        <w:t xml:space="preserve">1. Gaynes BN, Lux L, Gartlehner G, Asher G, Forman-Hoffman V, Green J, et al. Defining treatment-resistant depression. Depress Anxiety. 2020;37(2):134-145. doi:10.1002/da.22968.</w:t>
      </w:r>
    </w:p>
    <w:p>
      <w:pPr>
        <w:pStyle w:val="BodyText"/>
      </w:pPr>
      <w:r>
        <w:t xml:space="preserve">2. Rush AJ, Trivedi MH, Wisniewski SR, Nierenberg AA, Stewart JW, Warden D, et al. Acute and longer-term outcomes in depressed outpatients requiring one or several treatment steps: a STAR*D report. Am J Psychiatry. 2006;163(11):1905-1917. doi:10.1176/ajp.2006.163.11.1905.</w:t>
      </w:r>
    </w:p>
    <w:p>
      <w:pPr>
        <w:pStyle w:val="BodyText"/>
      </w:pPr>
      <w:r>
        <w:t xml:space="preserve">3. González HM, Vega WA, Williams DR, Tarraf W, West BT, Neighbors HW. Depression care in the United States: too little for too few. Arch Gen Psychiatry. 2010;67(1):37-46. doi:10.1001/archgenpsychiatry.2009.168.</w:t>
      </w:r>
    </w:p>
    <w:p>
      <w:pPr>
        <w:pStyle w:val="BodyText"/>
      </w:pPr>
      <w:r>
        <w:t xml:space="preserve">4. Alegría M, Chatterji P, Wells K, Cao Z, Chen CN, Takeuchi D, et al. Disparity in depression treatment among racial and ethnic minority populations in the United States. Psychiatr Serv. 2008;59(11):1264-1272. doi:10.1176/ps.2008.59.11.1264.</w:t>
      </w:r>
    </w:p>
    <w:p>
      <w:pPr>
        <w:pStyle w:val="BodyText"/>
      </w:pPr>
      <w:r>
        <w:t xml:space="preserve">5. Perlis RH. A clinical risk stratification tool for predicting treatment resistance in major depressive disorder. Biol Psychiatry. 2013;74(1):7-14. doi:10.1016/j.biopsych.2012.12.007.</w:t>
      </w:r>
    </w:p>
    <w:p>
      <w:pPr>
        <w:pStyle w:val="BodyText"/>
      </w:pPr>
      <w:r>
        <w:t xml:space="preserve">6. Kautzky A, Baldinger-Melich P, Kranz GS, Vanicek T, Souery D, Montgomery S, et al. A new prediction model for evaluating treatment-resistant depression. J Clin Psychiatry. 2017;78(2):215-222. doi:10.4088/JCP.15m10381.</w:t>
      </w:r>
    </w:p>
    <w:p>
      <w:pPr>
        <w:pStyle w:val="BodyText"/>
      </w:pPr>
      <w:r>
        <w:t xml:space="preserve">7. Sheu YH, Magdamo C, Miller M, Das S, Blacker D, Smoller JW. AI-assisted prediction of differential response to antidepressant classes using electronic health records. npj Digit Med. 2023;6:73. doi:10.1038/s41746-023-00817-8.</w:t>
      </w:r>
    </w:p>
    <w:p>
      <w:pPr>
        <w:pStyle w:val="BodyText"/>
      </w:pPr>
      <w:r>
        <w:t xml:space="preserve">8. Chekroud AM, Zotti RJ, Shehzad Z, Gueorguieva R, Johnson MK, Trivedi MH, et al. Cross-trial prediction of treatment outcome in depression: a machine learning approach. Lancet Psychiatry. 2016;3(3):243-250. doi:10.1016/S2214-0366(15)00471-X.</w:t>
      </w:r>
    </w:p>
    <w:p>
      <w:pPr>
        <w:pStyle w:val="BodyText"/>
      </w:pPr>
      <w:r>
        <w:t xml:space="preserve">9. Hegselmann S, Shen SZ, Gierse F, Agrawal M, Sontag D, Jiang X. A data-centric approach to generate faithful and high quality patient summaries with large language models. Proc Mach Learn Res. 2024;248:339-379.</w:t>
      </w:r>
    </w:p>
    <w:p>
      <w:pPr>
        <w:pStyle w:val="BodyText"/>
      </w:pPr>
      <w:r>
        <w:t xml:space="preserve">10. Reimers N, Gurevych I. Sentence-BERT: sentence embeddings using Siamese BERT-networks. In: Proceedings of the 2019 Conference on Empirical Methods in Natural Language Processing and the 9th International Joint Conference on Natural Language Processing (EMNLP-IJCNLP); 2019 Nov; Hong Kong. Stroudsburg (PA): Association for Computational Linguistics; 2019. p. 3982-3992. doi:10.18653/v1/D19-1410.</w:t>
      </w:r>
    </w:p>
    <w:p>
      <w:pPr>
        <w:pStyle w:val="BodyText"/>
      </w:pPr>
      <w:r>
        <w:t xml:space="preserve">11. Xiao S, Liu Z, Zhang P, Muennighoff N, Lian D, Nie JY. C-Pack: packed resources for general Chinese embeddings. In: Proceedings of the 47th International ACM SIGIR Conference on Research and Development in Information Retrieval (SIGIR ’24); 2024 Jul 14-18; Washington (DC). New York: ACM; 2024. p. 641-649. doi:10.1145/3626772.3657878.</w:t>
      </w:r>
    </w:p>
    <w:p>
      <w:pPr>
        <w:pStyle w:val="BodyText"/>
      </w:pPr>
      <w:r>
        <w:t xml:space="preserve">12. Li C, Qin M, Xiao S, Chen J, Luo K, Shao Y, et al. Making text embedders few-shot learners. arXiv:2409.15700. 2024.</w:t>
      </w:r>
    </w:p>
    <w:p>
      <w:pPr>
        <w:pStyle w:val="BodyText"/>
      </w:pPr>
      <w:r>
        <w:t xml:space="preserve">13. Zhang Y, Li M, Long D, Zhang X, Lin H, Yang B, et al. Qwen3 embedding: advancing text embedding and reranking through foundation models. arXiv:2506.05176. 2025.</w:t>
      </w:r>
    </w:p>
    <w:p>
      <w:pPr>
        <w:pStyle w:val="BodyText"/>
      </w:pPr>
      <w:r>
        <w:t xml:space="preserve">14. Hegselmann S, von Arnim G, Rheude T, Kronenberg N, Sontag D, Hindricks G, et al. Large language models are powerful electronic health record encoders. arXiv:2502.17403. 2025.</w:t>
      </w:r>
    </w:p>
    <w:p>
      <w:pPr>
        <w:pStyle w:val="BodyText"/>
      </w:pPr>
      <w:r>
        <w:t xml:space="preserve">15. Varma S, Simon R. Bias in error estimation when using cross-validation for model selection. BMC Bioinformatics. 2006;7:91. doi:10.1186/1471-2105-7-91.</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2026-09-29T00:36:09Z</dcterms:created>
  <dcterms:modified xsi:type="dcterms:W3CDTF">2026-09-29T00:36:09Z</dcterms:modified>
</cp:coreProperties>
</file>

<file path=docProps/custom.xml><?xml version="1.0" encoding="utf-8"?>
<Properties xmlns="http://schemas.openxmlformats.org/officeDocument/2006/custom-properties" xmlns:vt="http://schemas.openxmlformats.org/officeDocument/2006/docPropsVTypes"/>
</file>