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Cs/>
          <w:b/>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Cs/>
          <w:b/>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Cs/>
          <w:i/>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Cs/>
          <w:b/>
        </w:rPr>
        <w:t xml:space="preserve">Key.</w:t>
      </w:r>
      <w:r>
        <w:t xml:space="preserve"> </w:t>
      </w:r>
      <w:r>
        <w:t xml:space="preserve">D = development; E = evaluation; D;E = both.</w:t>
      </w:r>
      <w:r>
        <w:t xml:space="preserve"> </w:t>
      </w:r>
      <w:r>
        <w:t xml:space="preserve">“</w:t>
      </w:r>
      <w:r>
        <w:t xml:space="preserve">Reported in</w:t>
      </w:r>
      <w:r>
        <w:t xml:space="preserve">”</w:t>
      </w:r>
      <w:r>
        <w:t xml:space="preserve"> </w:t>
      </w:r>
      <w:r>
        <w:t xml:space="preserve">refers to sections of the main manuscript unless prefixed</w:t>
      </w:r>
      <w:r>
        <w:t xml:space="preserve"> </w:t>
      </w:r>
      <w:r>
        <w:rPr>
          <w:iCs/>
          <w:i/>
        </w:rPr>
        <w:t xml:space="preserve">Supplement</w:t>
      </w:r>
      <w:r>
        <w:t xml:space="preserve">.</w:t>
      </w:r>
    </w:p>
    <w:bookmarkStart w:id="20" w:name="title-and-abstract"/>
    <w:p>
      <w:pPr>
        <w:pStyle w:val="Heading2"/>
      </w:pPr>
      <w:r>
        <w:t xml:space="preserve">Title and abstract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w:t>
            </w:r>
          </w:p>
        </w:tc>
        <w:tc>
          <w:p>
            <w:pPr>
              <w:pStyle w:val="Compact"/>
              <w:jc w:val="center"/>
            </w:pPr>
            <w:r>
              <w:t xml:space="preserve">D;E</w:t>
            </w:r>
          </w:p>
        </w:tc>
        <w:tc>
          <w:p>
            <w:pPr>
              <w:pStyle w:val="Compact"/>
              <w:jc w:val="left"/>
            </w:pPr>
            <w:r>
              <w:t xml:space="preserve">Identify the study as developing or evaluating the performance of a multivariable prediction model, the target population, and the outcome to be predicted</w:t>
            </w:r>
          </w:p>
        </w:tc>
        <w:tc>
          <w:p>
            <w:pPr>
              <w:pStyle w:val="Compact"/>
              <w:jc w:val="lef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Cs/>
                <w:i/>
              </w:rPr>
              <w:t xml:space="preserve">Participants and Prediction Time</w:t>
            </w:r>
          </w:p>
        </w:tc>
      </w:tr>
      <w:tr>
        <w:tc>
          <w:p>
            <w:pPr>
              <w:pStyle w:val="Compact"/>
              <w:jc w:val="center"/>
            </w:pPr>
            <w:r>
              <w:t xml:space="preserve">2</w:t>
            </w:r>
          </w:p>
        </w:tc>
        <w:tc>
          <w:p>
            <w:pPr>
              <w:pStyle w:val="Compact"/>
              <w:jc w:val="center"/>
            </w:pPr>
            <w:r>
              <w:t xml:space="preserve">D;E</w:t>
            </w:r>
          </w:p>
        </w:tc>
        <w:tc>
          <w:p>
            <w:pPr>
              <w:pStyle w:val="Compact"/>
              <w:jc w:val="left"/>
            </w:pPr>
            <w:r>
              <w:t xml:space="preserve">See TRIPOD+AI for Abstracts checklist</w:t>
            </w:r>
          </w:p>
        </w:tc>
        <w:tc>
          <w:p>
            <w:pPr>
              <w:pStyle w:val="Compact"/>
              <w:jc w:val="lef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3a</w:t>
            </w:r>
          </w:p>
        </w:tc>
        <w:tc>
          <w:p>
            <w:pPr>
              <w:pStyle w:val="Compact"/>
              <w:jc w:val="center"/>
            </w:pPr>
            <w:r>
              <w:t xml:space="preserve">D;E</w:t>
            </w:r>
          </w:p>
        </w:tc>
        <w:tc>
          <w:p>
            <w:pPr>
              <w:pStyle w:val="Compact"/>
              <w:jc w:val="left"/>
            </w:pPr>
            <w:r>
              <w:t xml:space="preserve">Explain the healthcare context (including whether diagnostic or prognostic) and rationale for developing or evaluating the prediction model, including references to existing models</w:t>
            </w:r>
          </w:p>
        </w:tc>
        <w:tc>
          <w:p>
            <w:pPr>
              <w:pStyle w:val="Compact"/>
              <w:jc w:val="left"/>
            </w:pPr>
            <w:r>
              <w:t xml:space="preserve">Introduction, paragraphs 1–3. Prognostic. Existing models cited [4-8,12-15]</w:t>
            </w:r>
          </w:p>
        </w:tc>
      </w:tr>
      <w:tr>
        <w:tc>
          <w:p>
            <w:pPr>
              <w:pStyle w:val="Compact"/>
              <w:jc w:val="center"/>
            </w:pPr>
            <w:r>
              <w:t xml:space="preserve">3b</w:t>
            </w:r>
          </w:p>
        </w:tc>
        <w:tc>
          <w:p>
            <w:pPr>
              <w:pStyle w:val="Compact"/>
              <w:jc w:val="center"/>
            </w:pPr>
            <w:r>
              <w:t xml:space="preserve">D;E</w:t>
            </w:r>
          </w:p>
        </w:tc>
        <w:tc>
          <w:p>
            <w:pPr>
              <w:pStyle w:val="Compact"/>
              <w:jc w:val="left"/>
            </w:pPr>
            <w:r>
              <w:t xml:space="preserve">Describe the target population and the intended purpose of the prediction model in the context of the care pathway, including its intended users</w:t>
            </w:r>
          </w:p>
        </w:tc>
        <w:tc>
          <w:p>
            <w:pPr>
              <w:pStyle w:val="Compact"/>
              <w:jc w:val="left"/>
            </w:pPr>
            <w:r>
              <w:t xml:space="preserve">Introduction, paragraphs 1 and 5 (identifying, at the index antidepressant prescription, patients likely to have a difficult treatment course, to inform monitoring and follow-up); Discussion,</w:t>
            </w:r>
            <w:r>
              <w:t xml:space="preserve"> </w:t>
            </w:r>
            <w:r>
              <w:rPr>
                <w:iCs/>
                <w:i/>
              </w:rPr>
              <w:t xml:space="preserve">Implications and Next Steps</w:t>
            </w:r>
            <w:r>
              <w:t xml:space="preserve"> </w:t>
            </w:r>
            <w:r>
              <w:t xml:space="preserve">(the results do not support clinical deployment; outcome validation, temporal and external evaluation, and prespecified thresholds come first)</w:t>
            </w:r>
          </w:p>
        </w:tc>
      </w:tr>
      <w:tr>
        <w:tc>
          <w:p>
            <w:pPr>
              <w:pStyle w:val="Compact"/>
              <w:jc w:val="center"/>
            </w:pPr>
            <w:r>
              <w:t xml:space="preserve">3c</w:t>
            </w:r>
          </w:p>
        </w:tc>
        <w:tc>
          <w:p>
            <w:pPr>
              <w:pStyle w:val="Compact"/>
              <w:jc w:val="center"/>
            </w:pPr>
            <w:r>
              <w:t xml:space="preserve">D;E</w:t>
            </w:r>
          </w:p>
        </w:tc>
        <w:tc>
          <w:p>
            <w:pPr>
              <w:pStyle w:val="Compact"/>
              <w:jc w:val="left"/>
            </w:pPr>
            <w:r>
              <w:t xml:space="preserve">Describe any known health inequalities between sociodemographic groups</w:t>
            </w:r>
          </w:p>
        </w:tc>
        <w:tc>
          <w:p>
            <w:pPr>
              <w:pStyle w:val="Compact"/>
              <w:jc w:val="left"/>
            </w:pPr>
            <w:r>
              <w:t xml:space="preserve">Discussion,</w:t>
            </w:r>
            <w:r>
              <w:t xml:space="preserve"> </w:t>
            </w:r>
            <w:r>
              <w:rPr>
                <w:iCs/>
                <w:i/>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Cs/>
                <w:i/>
              </w:rPr>
              <w:t xml:space="preserve">Retrieval and Subgroup Performance</w:t>
            </w:r>
            <w:r>
              <w:t xml:space="preserve">, Supplement S9 (subgroup discrimination and calibration) and Supplement S11 (subgroup outcome frequency)</w:t>
            </w:r>
          </w:p>
        </w:tc>
      </w:tr>
      <w:tr>
        <w:tc>
          <w:p>
            <w:pPr>
              <w:pStyle w:val="Compact"/>
              <w:jc w:val="center"/>
            </w:pPr>
            <w:r>
              <w:t xml:space="preserve">4</w:t>
            </w:r>
          </w:p>
        </w:tc>
        <w:tc>
          <w:p>
            <w:pPr>
              <w:pStyle w:val="Compact"/>
              <w:jc w:val="center"/>
            </w:pPr>
            <w:r>
              <w:t xml:space="preserve">D;E</w:t>
            </w:r>
          </w:p>
        </w:tc>
        <w:tc>
          <w:p>
            <w:pPr>
              <w:pStyle w:val="Compact"/>
              <w:jc w:val="left"/>
            </w:pPr>
            <w:r>
              <w:t xml:space="preserve">Specify the study objectives, including whether the study describes the development or validation of a prediction model (or both)</w:t>
            </w:r>
          </w:p>
        </w:tc>
        <w:tc>
          <w:p>
            <w:pPr>
              <w:pStyle w:val="Compact"/>
              <w:jc w:val="left"/>
            </w:pPr>
            <w:r>
              <w:t xml:space="preserve">Introduction, final paragraph (the primary question and three secondary questions). Development with internal validation</w:t>
            </w:r>
          </w:p>
        </w:tc>
      </w:tr>
    </w:tbl>
    <w:bookmarkEnd w:id="21"/>
    <w:bookmarkStart w:id="22" w:name="methods"/>
    <w:p>
      <w:pPr>
        <w:pStyle w:val="Heading2"/>
      </w:pPr>
      <w:r>
        <w:t xml:space="preserve">Methods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5a</w:t>
            </w:r>
          </w:p>
        </w:tc>
        <w:tc>
          <w:p>
            <w:pPr>
              <w:pStyle w:val="Compact"/>
              <w:jc w:val="center"/>
            </w:pPr>
            <w:r>
              <w:t xml:space="preserve">D;E</w:t>
            </w:r>
          </w:p>
        </w:tc>
        <w:tc>
          <w:p>
            <w:pPr>
              <w:pStyle w:val="Compact"/>
              <w:jc w:val="left"/>
            </w:pPr>
            <w:r>
              <w:t xml:space="preserve">Describe the sources of data separately for the development and evaluation datasets, the rationale for using these data, and representativeness of the data</w:t>
            </w:r>
          </w:p>
        </w:tc>
        <w:tc>
          <w:p>
            <w:pPr>
              <w:pStyle w:val="Compact"/>
              <w:jc w:val="left"/>
            </w:pPr>
            <w:r>
              <w:t xml:space="preserve">Methods,</w:t>
            </w:r>
            <w:r>
              <w:t xml:space="preserve"> </w:t>
            </w:r>
            <w:r>
              <w:rPr>
                <w:iCs/>
                <w:i/>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Cs/>
                <w:i/>
              </w:rPr>
              <w:t xml:space="preserve">Study Design and Data Source</w:t>
            </w:r>
            <w:r>
              <w:t xml:space="preserve">; Supplement M1)</w:t>
            </w:r>
          </w:p>
        </w:tc>
      </w:tr>
      <w:tr>
        <w:tc>
          <w:p>
            <w:pPr>
              <w:pStyle w:val="Compact"/>
              <w:jc w:val="center"/>
            </w:pPr>
            <w:r>
              <w:t xml:space="preserve">5b</w:t>
            </w:r>
          </w:p>
        </w:tc>
        <w:tc>
          <w:p>
            <w:pPr>
              <w:pStyle w:val="Compact"/>
              <w:jc w:val="center"/>
            </w:pPr>
            <w:r>
              <w:t xml:space="preserve">D;E</w:t>
            </w:r>
          </w:p>
        </w:tc>
        <w:tc>
          <w:p>
            <w:pPr>
              <w:pStyle w:val="Compact"/>
              <w:jc w:val="left"/>
            </w:pPr>
            <w:r>
              <w:t xml:space="preserve">Specify the dates of the collected participant data, including start and end of participant accrual; and, if applicable, end of follow-up</w:t>
            </w:r>
          </w:p>
        </w:tc>
        <w:tc>
          <w:p>
            <w:pPr>
              <w:pStyle w:val="Compact"/>
              <w:jc w:val="left"/>
            </w:pPr>
            <w:r>
              <w:t xml:space="preserve">Methods,</w:t>
            </w:r>
            <w:r>
              <w:t xml:space="preserve"> </w:t>
            </w:r>
            <w:r>
              <w:rPr>
                <w:iCs/>
                <w:i/>
              </w:rPr>
              <w:t xml:space="preserve">Study Design and Data Source</w:t>
            </w:r>
            <w:r>
              <w:t xml:space="preserve"> </w:t>
            </w:r>
            <w:r>
              <w:t xml:space="preserve">(index dates 2013–2025; extracted June 29, 2026); Methods,</w:t>
            </w:r>
            <w:r>
              <w:t xml:space="preserve"> </w:t>
            </w:r>
            <w:r>
              <w:rPr>
                <w:iCs/>
                <w:i/>
              </w:rPr>
              <w:t xml:space="preserve">Participants and Prediction Time</w:t>
            </w:r>
            <w:r>
              <w:t xml:space="preserve"> </w:t>
            </w:r>
            <w:r>
              <w:t xml:space="preserve">(730-day lookback and at least 365 days of follow-up). Figure 1 shows the lookback window, the index, and the outcome window on one axis</w:t>
            </w:r>
          </w:p>
        </w:tc>
      </w:tr>
      <w:tr>
        <w:tc>
          <w:p>
            <w:pPr>
              <w:pStyle w:val="Compact"/>
              <w:jc w:val="center"/>
            </w:pPr>
            <w:r>
              <w:t xml:space="preserve">6a</w:t>
            </w:r>
          </w:p>
        </w:tc>
        <w:tc>
          <w:p>
            <w:pPr>
              <w:pStyle w:val="Compact"/>
              <w:jc w:val="center"/>
            </w:pPr>
            <w:r>
              <w:t xml:space="preserve">D;E</w:t>
            </w:r>
          </w:p>
        </w:tc>
        <w:tc>
          <w:p>
            <w:pPr>
              <w:pStyle w:val="Compact"/>
              <w:jc w:val="left"/>
            </w:pPr>
            <w:r>
              <w:t xml:space="preserve">Specify key elements of the study setting (e.g., primary care, secondary care, general population) including the number and location of centres</w:t>
            </w:r>
          </w:p>
        </w:tc>
        <w:tc>
          <w:p>
            <w:pPr>
              <w:pStyle w:val="Compact"/>
              <w:jc w:val="left"/>
            </w:pPr>
            <w:r>
              <w:t xml:space="preserve">Methods,</w:t>
            </w:r>
            <w:r>
              <w:t xml:space="preserve"> </w:t>
            </w:r>
            <w:r>
              <w:rPr>
                <w:iCs/>
                <w:i/>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p>
            <w:pPr>
              <w:pStyle w:val="Compact"/>
              <w:jc w:val="center"/>
            </w:pPr>
            <w:r>
              <w:t xml:space="preserve">6b</w:t>
            </w:r>
          </w:p>
        </w:tc>
        <w:tc>
          <w:p>
            <w:pPr>
              <w:pStyle w:val="Compact"/>
              <w:jc w:val="center"/>
            </w:pPr>
            <w:r>
              <w:t xml:space="preserve">D;E</w:t>
            </w:r>
          </w:p>
        </w:tc>
        <w:tc>
          <w:p>
            <w:pPr>
              <w:pStyle w:val="Compact"/>
              <w:jc w:val="left"/>
            </w:pPr>
            <w:r>
              <w:t xml:space="preserve">Describe the eligibility criteria for study participants</w:t>
            </w:r>
          </w:p>
        </w:tc>
        <w:tc>
          <w:p>
            <w:pPr>
              <w:pStyle w:val="Compact"/>
              <w:jc w:val="left"/>
            </w:pPr>
            <w:r>
              <w:t xml:space="preserve">Methods,</w:t>
            </w:r>
            <w:r>
              <w:t xml:space="preserve"> </w:t>
            </w:r>
            <w:r>
              <w:rPr>
                <w:iCs/>
                <w:i/>
              </w:rPr>
              <w:t xml:space="preserve">Participants and Prediction Time</w:t>
            </w:r>
            <w:r>
              <w:t xml:space="preserve">; Supplement M1 (diagnosis code lists) and M2, Table M1 (six hierarchical filters)</w:t>
            </w:r>
          </w:p>
        </w:tc>
      </w:tr>
      <w:tr>
        <w:tc>
          <w:p>
            <w:pPr>
              <w:pStyle w:val="Compact"/>
              <w:jc w:val="center"/>
            </w:pPr>
            <w:r>
              <w:t xml:space="preserve">6c</w:t>
            </w:r>
          </w:p>
        </w:tc>
        <w:tc>
          <w:p>
            <w:pPr>
              <w:pStyle w:val="Compact"/>
              <w:jc w:val="center"/>
            </w:pPr>
            <w:r>
              <w:t xml:space="preserve">D;E</w:t>
            </w:r>
          </w:p>
        </w:tc>
        <w:tc>
          <w:p>
            <w:pPr>
              <w:pStyle w:val="Compact"/>
              <w:jc w:val="left"/>
            </w:pPr>
            <w:r>
              <w:t xml:space="preserve">Give details of any treatments received, and how they were handled during model development or evaluation, if relevant</w:t>
            </w:r>
          </w:p>
        </w:tc>
        <w:tc>
          <w:p>
            <w:pPr>
              <w:pStyle w:val="Compact"/>
              <w:jc w:val="left"/>
            </w:pPr>
            <w:r>
              <w:t xml:space="preserve">Methods,</w:t>
            </w:r>
            <w:r>
              <w:t xml:space="preserve"> </w:t>
            </w:r>
            <w:r>
              <w:rPr>
                <w:iCs/>
                <w:i/>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Cs/>
                <w:i/>
              </w:rPr>
              <w:t xml:space="preserve">Patient Representations and Missing Data</w:t>
            </w:r>
            <w:r>
              <w:t xml:space="preserve"> </w:t>
            </w:r>
            <w:r>
              <w:t xml:space="preserve">(prior trial counts at 42 days of continuous exposure, which does not establish adequate dose); Methods,</w:t>
            </w:r>
            <w:r>
              <w:t xml:space="preserve"> </w:t>
            </w:r>
            <w:r>
              <w:rPr>
                <w:iCs/>
                <w:i/>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Cs/>
                <w:i/>
              </w:rPr>
              <w:t xml:space="preserve">Clinical Contributions and Encoder Robustness</w:t>
            </w:r>
            <w:r>
              <w:t xml:space="preserve">, Table 3; Supplement S12.3</w:t>
            </w:r>
          </w:p>
        </w:tc>
      </w:tr>
      <w:tr>
        <w:tc>
          <w:p>
            <w:pPr>
              <w:pStyle w:val="Compact"/>
              <w:jc w:val="center"/>
            </w:pPr>
            <w:r>
              <w:t xml:space="preserve">7</w:t>
            </w:r>
          </w:p>
        </w:tc>
        <w:tc>
          <w:p>
            <w:pPr>
              <w:pStyle w:val="Compact"/>
              <w:jc w:val="center"/>
            </w:pPr>
            <w:r>
              <w:t xml:space="preserve">D;E</w:t>
            </w:r>
          </w:p>
        </w:tc>
        <w:tc>
          <w:p>
            <w:pPr>
              <w:pStyle w:val="Compact"/>
              <w:jc w:val="left"/>
            </w:pPr>
            <w:r>
              <w:t xml:space="preserve">Describe any data pre-processing and quality checking, including whether this was similar across relevant sociodemographic groups</w:t>
            </w:r>
          </w:p>
        </w:tc>
        <w:tc>
          <w:p>
            <w:pPr>
              <w:pStyle w:val="Compact"/>
              <w:jc w:val="left"/>
            </w:pPr>
            <w:r>
              <w:t xml:space="preserve">Methods,</w:t>
            </w:r>
            <w:r>
              <w:t xml:space="preserve"> </w:t>
            </w:r>
            <w:r>
              <w:rPr>
                <w:iCs/>
                <w:i/>
              </w:rPr>
              <w:t xml:space="preserve">Patient Representations and Missing Data</w:t>
            </w:r>
            <w:r>
              <w:t xml:space="preserve">; Methods,</w:t>
            </w:r>
            <w:r>
              <w:t xml:space="preserve"> </w:t>
            </w:r>
            <w:r>
              <w:rPr>
                <w:iCs/>
                <w:i/>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p>
            <w:pPr>
              <w:pStyle w:val="Compact"/>
              <w:jc w:val="center"/>
            </w:pPr>
            <w:r>
              <w:t xml:space="preserve">8a</w:t>
            </w:r>
          </w:p>
        </w:tc>
        <w:tc>
          <w:p>
            <w:pPr>
              <w:pStyle w:val="Compact"/>
              <w:jc w:val="center"/>
            </w:pPr>
            <w:r>
              <w:t xml:space="preserve">D;E</w:t>
            </w:r>
          </w:p>
        </w:tc>
        <w:tc>
          <w:p>
            <w:pPr>
              <w:pStyle w:val="Compact"/>
              <w:jc w:val="lef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p>
            <w:pPr>
              <w:pStyle w:val="Compact"/>
              <w:jc w:val="left"/>
            </w:pPr>
            <w:r>
              <w:t xml:space="preserve">Methods,</w:t>
            </w:r>
            <w:r>
              <w:t xml:space="preserve"> </w:t>
            </w:r>
            <w:r>
              <w:rPr>
                <w:iCs/>
                <w:i/>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Cs/>
                <w:i/>
              </w:rPr>
              <w:t xml:space="preserve">Outcome</w:t>
            </w:r>
            <w:r>
              <w:t xml:space="preserve">; Supplement M3; Discussion,</w:t>
            </w:r>
            <w:r>
              <w:t xml:space="preserve"> </w:t>
            </w:r>
            <w:r>
              <w:rPr>
                <w:iCs/>
                <w:i/>
              </w:rPr>
              <w:t xml:space="preserve">Clinical Interpretation and Limitations</w:t>
            </w:r>
            <w:r>
              <w:t xml:space="preserve">, paragraph 1</w:t>
            </w:r>
          </w:p>
        </w:tc>
      </w:tr>
      <w:tr>
        <w:tc>
          <w:p>
            <w:pPr>
              <w:pStyle w:val="Compact"/>
              <w:jc w:val="center"/>
            </w:pPr>
            <w:r>
              <w:t xml:space="preserve">8b</w:t>
            </w:r>
          </w:p>
        </w:tc>
        <w:tc>
          <w:p>
            <w:pPr>
              <w:pStyle w:val="Compact"/>
              <w:jc w:val="center"/>
            </w:pPr>
            <w:r>
              <w:t xml:space="preserve">D;E</w:t>
            </w:r>
          </w:p>
        </w:tc>
        <w:tc>
          <w:p>
            <w:pPr>
              <w:pStyle w:val="Compact"/>
              <w:jc w:val="left"/>
            </w:pPr>
            <w:r>
              <w:t xml:space="preserve">If outcome assessment requires subjective interpretation, describe the qualifications and demographic characteristics of the outcome assessors</w:t>
            </w:r>
          </w:p>
        </w:tc>
        <w:tc>
          <w:p>
            <w:pPr>
              <w:pStyle w:val="Compact"/>
              <w:jc w:val="left"/>
            </w:pPr>
            <w:r>
              <w:t xml:space="preserve">Not applicable. The outcome is derived algorithmically from structured prescription records; no human assessor interprets it</w:t>
            </w:r>
          </w:p>
        </w:tc>
      </w:tr>
      <w:tr>
        <w:tc>
          <w:p>
            <w:pPr>
              <w:pStyle w:val="Compact"/>
              <w:jc w:val="center"/>
            </w:pPr>
            <w:r>
              <w:t xml:space="preserve">8c</w:t>
            </w:r>
          </w:p>
        </w:tc>
        <w:tc>
          <w:p>
            <w:pPr>
              <w:pStyle w:val="Compact"/>
              <w:jc w:val="center"/>
            </w:pPr>
            <w:r>
              <w:t xml:space="preserve">D;E</w:t>
            </w:r>
          </w:p>
        </w:tc>
        <w:tc>
          <w:p>
            <w:pPr>
              <w:pStyle w:val="Compact"/>
              <w:jc w:val="left"/>
            </w:pPr>
            <w:r>
              <w:t xml:space="preserve">Report any actions to blind assessment of the outcome to be predicted</w:t>
            </w:r>
          </w:p>
        </w:tc>
        <w:tc>
          <w:p>
            <w:pPr>
              <w:pStyle w:val="Compact"/>
              <w:jc w:val="left"/>
            </w:pPr>
            <w:r>
              <w:t xml:space="preserve">Methods,</w:t>
            </w:r>
            <w:r>
              <w:t xml:space="preserve"> </w:t>
            </w:r>
            <w:r>
              <w:rPr>
                <w:iCs/>
                <w:i/>
              </w:rPr>
              <w:t xml:space="preserve">Outcome</w:t>
            </w:r>
            <w:r>
              <w:t xml:space="preserve">; Supplement M3. The label was generated in a separate upstream data-preparation pipeline, independently of the predictors, and supplied as a fixed label</w:t>
            </w:r>
          </w:p>
        </w:tc>
      </w:tr>
      <w:tr>
        <w:tc>
          <w:p>
            <w:pPr>
              <w:pStyle w:val="Compact"/>
              <w:jc w:val="center"/>
            </w:pPr>
            <w:r>
              <w:t xml:space="preserve">9a</w:t>
            </w:r>
          </w:p>
        </w:tc>
        <w:tc>
          <w:p>
            <w:pPr>
              <w:pStyle w:val="Compact"/>
              <w:jc w:val="center"/>
            </w:pPr>
            <w:r>
              <w:t xml:space="preserve">D</w:t>
            </w:r>
          </w:p>
        </w:tc>
        <w:tc>
          <w:p>
            <w:pPr>
              <w:pStyle w:val="Compact"/>
              <w:jc w:val="left"/>
            </w:pPr>
            <w:r>
              <w:t xml:space="preserve">Describe the choice of initial predictors and any pre-selection of predictors before model building</w:t>
            </w:r>
          </w:p>
        </w:tc>
        <w:tc>
          <w:p>
            <w:pPr>
              <w:pStyle w:val="Compact"/>
              <w:jc w:val="left"/>
            </w:pPr>
            <w:r>
              <w:t xml:space="preserve">Methods,</w:t>
            </w:r>
            <w:r>
              <w:t xml:space="preserve"> </w:t>
            </w:r>
            <w:r>
              <w:rPr>
                <w:iCs/>
                <w:i/>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p>
            <w:pPr>
              <w:pStyle w:val="Compact"/>
              <w:jc w:val="center"/>
            </w:pPr>
            <w:r>
              <w:t xml:space="preserve">9b</w:t>
            </w:r>
          </w:p>
        </w:tc>
        <w:tc>
          <w:p>
            <w:pPr>
              <w:pStyle w:val="Compact"/>
              <w:jc w:val="center"/>
            </w:pPr>
            <w:r>
              <w:t xml:space="preserve">D;E</w:t>
            </w:r>
          </w:p>
        </w:tc>
        <w:tc>
          <w:p>
            <w:pPr>
              <w:pStyle w:val="Compact"/>
              <w:jc w:val="left"/>
            </w:pPr>
            <w:r>
              <w:t xml:space="preserve">Clearly define all predictors, including how and when they were measured (and any actions to blind assessment of predictors for the outcome and other predictors)</w:t>
            </w:r>
          </w:p>
        </w:tc>
        <w:tc>
          <w:p>
            <w:pPr>
              <w:pStyle w:val="Compact"/>
              <w:jc w:val="left"/>
            </w:pPr>
            <w:r>
              <w:t xml:space="preserve">Methods,</w:t>
            </w:r>
            <w:r>
              <w:t xml:space="preserve"> </w:t>
            </w:r>
            <w:r>
              <w:rPr>
                <w:iCs/>
                <w:i/>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p>
            <w:pPr>
              <w:pStyle w:val="Compact"/>
              <w:jc w:val="center"/>
            </w:pPr>
            <w:r>
              <w:t xml:space="preserve">9c</w:t>
            </w:r>
          </w:p>
        </w:tc>
        <w:tc>
          <w:p>
            <w:pPr>
              <w:pStyle w:val="Compact"/>
              <w:jc w:val="center"/>
            </w:pPr>
            <w:r>
              <w:t xml:space="preserve">D;E</w:t>
            </w:r>
          </w:p>
        </w:tc>
        <w:tc>
          <w:p>
            <w:pPr>
              <w:pStyle w:val="Compact"/>
              <w:jc w:val="left"/>
            </w:pPr>
            <w:r>
              <w:t xml:space="preserve">If predictor measurement requires subjective interpretation, describe the qualifications and demographic characteristics of the predictor assessors</w:t>
            </w:r>
          </w:p>
        </w:tc>
        <w:tc>
          <w:p>
            <w:pPr>
              <w:pStyle w:val="Compact"/>
              <w:jc w:val="left"/>
            </w:pPr>
            <w:r>
              <w:t xml:space="preserve">Not applicable. All predictors are derived deterministically from structured EHR fields; the narratives are written by fixed rules, with no generative model and no human judgement (Methods,</w:t>
            </w:r>
            <w:r>
              <w:t xml:space="preserve"> </w:t>
            </w:r>
            <w:r>
              <w:rPr>
                <w:iCs/>
                <w:i/>
              </w:rPr>
              <w:t xml:space="preserve">Patient Representations and Missing Data</w:t>
            </w:r>
            <w:r>
              <w:t xml:space="preserve">; Supplement M5)</w:t>
            </w:r>
          </w:p>
        </w:tc>
      </w:tr>
      <w:tr>
        <w:tc>
          <w:p>
            <w:pPr>
              <w:pStyle w:val="Compact"/>
              <w:jc w:val="center"/>
            </w:pPr>
            <w:r>
              <w:t xml:space="preserve">10</w:t>
            </w:r>
          </w:p>
        </w:tc>
        <w:tc>
          <w:p>
            <w:pPr>
              <w:pStyle w:val="Compact"/>
              <w:jc w:val="center"/>
            </w:pPr>
            <w:r>
              <w:t xml:space="preserve">D;E</w:t>
            </w:r>
          </w:p>
        </w:tc>
        <w:tc>
          <w:p>
            <w:pPr>
              <w:pStyle w:val="Compact"/>
              <w:jc w:val="left"/>
            </w:pPr>
            <w:r>
              <w:t xml:space="preserve">Explain how the study size was arrived at (separately for development and evaluation), and justify that the study size was sufficient to answer the research question. Include details of any sample size calculation</w:t>
            </w:r>
          </w:p>
        </w:tc>
        <w:tc>
          <w:p>
            <w:pPr>
              <w:pStyle w:val="Compact"/>
              <w:jc w:val="left"/>
            </w:pPr>
            <w:r>
              <w:t xml:space="preserve">Supplement M7. No formal sample-size calculation; cohort size fixed by eligibility. Events per variable reported per representation and per encoder against the conventional threshold of 10 (Supplement M7, Table S15)</w:t>
            </w:r>
          </w:p>
        </w:tc>
      </w:tr>
      <w:tr>
        <w:tc>
          <w:p>
            <w:pPr>
              <w:pStyle w:val="Compact"/>
              <w:jc w:val="center"/>
            </w:pPr>
            <w:r>
              <w:t xml:space="preserve">11</w:t>
            </w:r>
          </w:p>
        </w:tc>
        <w:tc>
          <w:p>
            <w:pPr>
              <w:pStyle w:val="Compact"/>
              <w:jc w:val="center"/>
            </w:pPr>
            <w:r>
              <w:t xml:space="preserve">D;E</w:t>
            </w:r>
          </w:p>
        </w:tc>
        <w:tc>
          <w:p>
            <w:pPr>
              <w:pStyle w:val="Compact"/>
              <w:jc w:val="left"/>
            </w:pPr>
            <w:r>
              <w:t xml:space="preserve">Describe how missing data were handled. Provide reasons for omitting any data</w:t>
            </w:r>
          </w:p>
        </w:tc>
        <w:tc>
          <w:p>
            <w:pPr>
              <w:pStyle w:val="Compact"/>
              <w:jc w:val="left"/>
            </w:pPr>
            <w:r>
              <w:t xml:space="preserve">Methods,</w:t>
            </w:r>
            <w:r>
              <w:t xml:space="preserve"> </w:t>
            </w:r>
            <w:r>
              <w:rPr>
                <w:iCs/>
                <w:i/>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p>
            <w:pPr>
              <w:pStyle w:val="Compact"/>
              <w:jc w:val="center"/>
            </w:pPr>
            <w:r>
              <w:t xml:space="preserve">12a</w:t>
            </w:r>
          </w:p>
        </w:tc>
        <w:tc>
          <w:p>
            <w:pPr>
              <w:pStyle w:val="Compact"/>
              <w:jc w:val="center"/>
            </w:pPr>
            <w:r>
              <w:t xml:space="preserve">D</w:t>
            </w:r>
          </w:p>
        </w:tc>
        <w:tc>
          <w:p>
            <w:pPr>
              <w:pStyle w:val="Compact"/>
              <w:jc w:val="left"/>
            </w:pPr>
            <w:r>
              <w:t xml:space="preserve">Describe how the data were used in the analysis, including whether the data were partitioned, considering any sample size requirements</w:t>
            </w:r>
          </w:p>
        </w:tc>
        <w:tc>
          <w:p>
            <w:pPr>
              <w:pStyle w:val="Compact"/>
              <w:jc w:val="left"/>
            </w:pPr>
            <w:r>
              <w:t xml:space="preserve">Methods,</w:t>
            </w:r>
            <w:r>
              <w:t xml:space="preserve"> </w:t>
            </w:r>
            <w:r>
              <w:rPr>
                <w:iCs/>
                <w:i/>
              </w:rPr>
              <w:t xml:space="preserve">Model Development and Evaluation</w:t>
            </w:r>
            <w:r>
              <w:t xml:space="preserve"> </w:t>
            </w:r>
            <w:r>
              <w:t xml:space="preserve">(one stratified 80:20 split shared by every analysis); Supplement M8 (the retrieval index holds training patients only)</w:t>
            </w:r>
          </w:p>
        </w:tc>
      </w:tr>
      <w:tr>
        <w:tc>
          <w:p>
            <w:pPr>
              <w:pStyle w:val="Compact"/>
              <w:jc w:val="center"/>
            </w:pPr>
            <w:r>
              <w:t xml:space="preserve">12b</w:t>
            </w:r>
          </w:p>
        </w:tc>
        <w:tc>
          <w:p>
            <w:pPr>
              <w:pStyle w:val="Compact"/>
              <w:jc w:val="center"/>
            </w:pPr>
            <w:r>
              <w:t xml:space="preserve">D</w:t>
            </w:r>
          </w:p>
        </w:tc>
        <w:tc>
          <w:p>
            <w:pPr>
              <w:pStyle w:val="Compact"/>
              <w:jc w:val="left"/>
            </w:pPr>
            <w:r>
              <w:t xml:space="preserve">Depending on the type of model, describe how predictors were handled in the analyses (functional form, rescaling, transformation, or any standardisation)</w:t>
            </w:r>
          </w:p>
        </w:tc>
        <w:tc>
          <w:p>
            <w:pPr>
              <w:pStyle w:val="Compact"/>
              <w:jc w:val="left"/>
            </w:pPr>
            <w:r>
              <w:t xml:space="preserve">Methods,</w:t>
            </w:r>
            <w:r>
              <w:t xml:space="preserve"> </w:t>
            </w:r>
            <w:r>
              <w:rPr>
                <w:iCs/>
                <w:i/>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p>
            <w:pPr>
              <w:pStyle w:val="Compact"/>
              <w:jc w:val="center"/>
            </w:pPr>
            <w:r>
              <w:t xml:space="preserve">12c</w:t>
            </w:r>
          </w:p>
        </w:tc>
        <w:tc>
          <w:p>
            <w:pPr>
              <w:pStyle w:val="Compact"/>
              <w:jc w:val="center"/>
            </w:pPr>
            <w:r>
              <w:t xml:space="preserve">D</w:t>
            </w:r>
          </w:p>
        </w:tc>
        <w:tc>
          <w:p>
            <w:pPr>
              <w:pStyle w:val="Compact"/>
              <w:jc w:val="left"/>
            </w:pPr>
            <w:r>
              <w:t xml:space="preserve">Specify the type of model, rationale, all model-building steps, including any hyperparameter tuning, and method for internal validation</w:t>
            </w:r>
          </w:p>
        </w:tc>
        <w:tc>
          <w:p>
            <w:pPr>
              <w:pStyle w:val="Compact"/>
              <w:jc w:val="left"/>
            </w:pPr>
            <w:r>
              <w:t xml:space="preserve">Methods,</w:t>
            </w:r>
            <w:r>
              <w:t xml:space="preserve"> </w:t>
            </w:r>
            <w:r>
              <w:rPr>
                <w:iCs/>
                <w:i/>
              </w:rPr>
              <w:t xml:space="preserve">Model Development and Evaluation</w:t>
            </w:r>
            <w:r>
              <w:t xml:space="preserve"> </w:t>
            </w:r>
            <w:r>
              <w:t xml:space="preserve">(4 classifiers per representation; five-fold cross-validated grid search optimizing ROC AUC; refit on all training patients; identical grids across representations); Supplement M9. Internal validation is the held-out 20% split</w:t>
            </w:r>
          </w:p>
        </w:tc>
      </w:tr>
      <w:tr>
        <w:tc>
          <w:p>
            <w:pPr>
              <w:pStyle w:val="Compact"/>
              <w:jc w:val="center"/>
            </w:pPr>
            <w:r>
              <w:t xml:space="preserve">12d</w:t>
            </w:r>
          </w:p>
        </w:tc>
        <w:tc>
          <w:p>
            <w:pPr>
              <w:pStyle w:val="Compact"/>
              <w:jc w:val="center"/>
            </w:pPr>
            <w:r>
              <w:t xml:space="preserve">D;E</w:t>
            </w:r>
          </w:p>
        </w:tc>
        <w:tc>
          <w:p>
            <w:pPr>
              <w:pStyle w:val="Compact"/>
              <w:jc w:val="left"/>
            </w:pPr>
            <w:r>
              <w:t xml:space="preserve">Describe if and how any heterogeneity in estimates of model parameter values and model performance was handled and quantified across clusters</w:t>
            </w:r>
          </w:p>
        </w:tc>
        <w:tc>
          <w:p>
            <w:pPr>
              <w:pStyle w:val="Compact"/>
              <w:jc w:val="left"/>
            </w:pPr>
            <w:r>
              <w:t xml:space="preserve">Not applicable. Data come from a single source with no modelled cluster structure; no clustered or multi-centre analysis was performed</w:t>
            </w:r>
          </w:p>
        </w:tc>
      </w:tr>
      <w:tr>
        <w:tc>
          <w:p>
            <w:pPr>
              <w:pStyle w:val="Compact"/>
              <w:jc w:val="center"/>
            </w:pPr>
            <w:r>
              <w:t xml:space="preserve">12e</w:t>
            </w:r>
          </w:p>
        </w:tc>
        <w:tc>
          <w:p>
            <w:pPr>
              <w:pStyle w:val="Compact"/>
              <w:jc w:val="center"/>
            </w:pPr>
            <w:r>
              <w:t xml:space="preserve">D;E</w:t>
            </w:r>
          </w:p>
        </w:tc>
        <w:tc>
          <w:p>
            <w:pPr>
              <w:pStyle w:val="Compact"/>
              <w:jc w:val="left"/>
            </w:pPr>
            <w:r>
              <w:t xml:space="preserve">Specify all measures and plots used (and their rationale) to evaluate model performance and, if relevant, to compare multiple models</w:t>
            </w:r>
          </w:p>
        </w:tc>
        <w:tc>
          <w:p>
            <w:pPr>
              <w:pStyle w:val="Compact"/>
              <w:jc w:val="left"/>
            </w:pPr>
            <w:r>
              <w:t xml:space="preserve">Methods,</w:t>
            </w:r>
            <w:r>
              <w:t xml:space="preserve"> </w:t>
            </w:r>
            <w:r>
              <w:rPr>
                <w:iCs/>
                <w:i/>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Calibration: Supplement S3 and S9</w:t>
            </w:r>
          </w:p>
        </w:tc>
      </w:tr>
      <w:tr>
        <w:tc>
          <w:p>
            <w:pPr>
              <w:pStyle w:val="Compact"/>
              <w:jc w:val="center"/>
            </w:pPr>
            <w:r>
              <w:t xml:space="preserve">12f</w:t>
            </w:r>
          </w:p>
        </w:tc>
        <w:tc>
          <w:p>
            <w:pPr>
              <w:pStyle w:val="Compact"/>
              <w:jc w:val="center"/>
            </w:pPr>
            <w:r>
              <w:t xml:space="preserve">E</w:t>
            </w:r>
          </w:p>
        </w:tc>
        <w:tc>
          <w:p>
            <w:pPr>
              <w:pStyle w:val="Compact"/>
              <w:jc w:val="left"/>
            </w:pPr>
            <w:r>
              <w:t xml:space="preserve">Describe any model updating arising from the model evaluation, either overall or for particular sociodemographic groups or settings</w:t>
            </w:r>
          </w:p>
        </w:tc>
        <w:tc>
          <w:p>
            <w:pPr>
              <w:pStyle w:val="Compact"/>
              <w:jc w:val="left"/>
            </w:pPr>
            <w:r>
              <w:t xml:space="preserve">Not applicable. No recalibration or model updating was performed after evaluation</w:t>
            </w:r>
          </w:p>
        </w:tc>
      </w:tr>
      <w:tr>
        <w:tc>
          <w:p>
            <w:pPr>
              <w:pStyle w:val="Compact"/>
              <w:jc w:val="center"/>
            </w:pPr>
            <w:r>
              <w:t xml:space="preserve">12g</w:t>
            </w:r>
          </w:p>
        </w:tc>
        <w:tc>
          <w:p>
            <w:pPr>
              <w:pStyle w:val="Compact"/>
              <w:jc w:val="center"/>
            </w:pPr>
            <w:r>
              <w:t xml:space="preserve">E</w:t>
            </w:r>
          </w:p>
        </w:tc>
        <w:tc>
          <w:p>
            <w:pPr>
              <w:pStyle w:val="Compact"/>
              <w:jc w:val="left"/>
            </w:pPr>
            <w:r>
              <w:t xml:space="preserve">For model evaluation, describe how the model predictions were calculated</w:t>
            </w:r>
          </w:p>
        </w:tc>
        <w:tc>
          <w:p>
            <w:pPr>
              <w:pStyle w:val="Compact"/>
              <w:jc w:val="left"/>
            </w:pPr>
            <w:r>
              <w:t xml:space="preserve">Methods,</w:t>
            </w:r>
            <w:r>
              <w:t xml:space="preserve"> </w:t>
            </w:r>
            <w:r>
              <w:rPr>
                <w:iCs/>
                <w:i/>
              </w:rPr>
              <w:t xml:space="preserve">Model Development and Evaluation</w:t>
            </w:r>
            <w:r>
              <w:t xml:space="preserve"> </w:t>
            </w:r>
            <w:r>
              <w:t xml:space="preserve">(classifier predicted probabilities from the refitted pipeline); Methods,</w:t>
            </w:r>
            <w:r>
              <w:t xml:space="preserve"> </w:t>
            </w:r>
            <w:r>
              <w:rPr>
                <w:iCs/>
                <w:i/>
              </w:rPr>
              <w:t xml:space="preserve">Supporting Analyses</w:t>
            </w:r>
            <w:r>
              <w:t xml:space="preserve">, Equations 1–2 (the neighbor-retrieval risk score in closed form); Supplement M10; Data Availability (analysis code)</w:t>
            </w:r>
          </w:p>
        </w:tc>
      </w:tr>
      <w:tr>
        <w:tc>
          <w:p>
            <w:pPr>
              <w:pStyle w:val="Compact"/>
              <w:jc w:val="center"/>
            </w:pPr>
            <w:r>
              <w:t xml:space="preserve">13</w:t>
            </w:r>
          </w:p>
        </w:tc>
        <w:tc>
          <w:p>
            <w:pPr>
              <w:pStyle w:val="Compact"/>
              <w:jc w:val="center"/>
            </w:pPr>
            <w:r>
              <w:t xml:space="preserve">D;E</w:t>
            </w:r>
          </w:p>
        </w:tc>
        <w:tc>
          <w:p>
            <w:pPr>
              <w:pStyle w:val="Compact"/>
              <w:jc w:val="left"/>
            </w:pPr>
            <w:r>
              <w:t xml:space="preserve">If class imbalance methods were used, state why and how this was done, and any subsequent methods to recalibrate the model or the model predictions</w:t>
            </w:r>
          </w:p>
        </w:tc>
        <w:tc>
          <w:p>
            <w:pPr>
              <w:pStyle w:val="Compact"/>
              <w:jc w:val="left"/>
            </w:pPr>
            <w:r>
              <w:t xml:space="preserve">No class-imbalance method was used: no resampling, class weighting, or recalibration. The 17.5% positive rate was preserved in both partitions by the stratified split (Methods,</w:t>
            </w:r>
            <w:r>
              <w:t xml:space="preserve"> </w:t>
            </w:r>
            <w:r>
              <w:rPr>
                <w:iCs/>
                <w:i/>
              </w:rPr>
              <w:t xml:space="preserve">Model Development and Evaluation</w:t>
            </w:r>
            <w:r>
              <w:t xml:space="preserve">; Supplement M8). Consequences for interpretation: precision–recall analysis (Supplement S2) and calibration (Supplement S3)</w:t>
            </w:r>
          </w:p>
        </w:tc>
      </w:tr>
      <w:tr>
        <w:tc>
          <w:p>
            <w:pPr>
              <w:pStyle w:val="Compact"/>
              <w:jc w:val="center"/>
            </w:pPr>
            <w:r>
              <w:t xml:space="preserve">14</w:t>
            </w:r>
          </w:p>
        </w:tc>
        <w:tc>
          <w:p>
            <w:pPr>
              <w:pStyle w:val="Compact"/>
              <w:jc w:val="center"/>
            </w:pPr>
            <w:r>
              <w:t xml:space="preserve">D;E</w:t>
            </w:r>
          </w:p>
        </w:tc>
        <w:tc>
          <w:p>
            <w:pPr>
              <w:pStyle w:val="Compact"/>
              <w:jc w:val="left"/>
            </w:pPr>
            <w:r>
              <w:t xml:space="preserve">Describe any approaches that were used to address model fairness and their rationale</w:t>
            </w:r>
          </w:p>
        </w:tc>
        <w:tc>
          <w:p>
            <w:pPr>
              <w:pStyle w:val="Compact"/>
              <w:jc w:val="left"/>
            </w:pPr>
            <w:r>
              <w:t xml:space="preserve">No fairness assessment was performed, and the manuscript says so. Methods,</w:t>
            </w:r>
            <w:r>
              <w:t xml:space="preserve"> </w:t>
            </w:r>
            <w:r>
              <w:rPr>
                <w:iCs/>
                <w:i/>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Cs/>
                <w:i/>
              </w:rPr>
              <w:t xml:space="preserve">Retrieval and Subgroup Performance</w:t>
            </w:r>
            <w:r>
              <w:t xml:space="preserve"> </w:t>
            </w:r>
            <w:r>
              <w:t xml:space="preserve">and Supplement S9 (Tables S10–S12, Figure S11) report ROC AUC, logistic calibration slope and mean risk difference across sex, recorded race, age, marital status, smoking, religion, MDD recurrence and severity, for 4 FEATURE classifiers, 4 EMBEDDED classifiers and 2 retrieval configurations, with strata below 20 in the smaller outcome class declared not estimable. 240 contrasts with bootstrap P values adjusted by Benjamini–Hochberg; 60 exclude zero unadjusted and 24 survive, 19 of them involving recurrence. All 10 White-minus-non-White contrasts are positive (0.005–0.052), 5 exclude zero unadjusted and none survive (minimum adjusted P = .11); feature-vector logistic regression calibration slope is 0.98 in White patients and 0.79 in other recorded racial categories, with 302 against 1,181 events. Discussion,</w:t>
            </w:r>
            <w:r>
              <w:t xml:space="preserve"> </w:t>
            </w:r>
            <w:r>
              <w:rPr>
                <w:iCs/>
                <w:i/>
              </w:rPr>
              <w:t xml:space="preserve">Clinical Interpretation and Limitations</w:t>
            </w:r>
            <w:r>
              <w:t xml:space="preserve">, paragraph 3, states that this does not establish fairness and why</w:t>
            </w:r>
          </w:p>
        </w:tc>
      </w:tr>
      <w:tr>
        <w:tc>
          <w:p>
            <w:pPr>
              <w:pStyle w:val="Compact"/>
              <w:jc w:val="center"/>
            </w:pPr>
            <w:r>
              <w:t xml:space="preserve">15</w:t>
            </w:r>
          </w:p>
        </w:tc>
        <w:tc>
          <w:p>
            <w:pPr>
              <w:pStyle w:val="Compact"/>
              <w:jc w:val="center"/>
            </w:pPr>
            <w:r>
              <w:t xml:space="preserve">D</w:t>
            </w:r>
          </w:p>
        </w:tc>
        <w:tc>
          <w:p>
            <w:pPr>
              <w:pStyle w:val="Compact"/>
              <w:jc w:val="left"/>
            </w:pPr>
            <w:r>
              <w:t xml:space="preserve">Specify the output of the prediction model. Provide details and rationale for any classification and how the thresholds were identified</w:t>
            </w:r>
          </w:p>
        </w:tc>
        <w:tc>
          <w:p>
            <w:pPr>
              <w:pStyle w:val="Compact"/>
              <w:jc w:val="left"/>
            </w:pPr>
            <w:r>
              <w:t xml:space="preserve">Methods,</w:t>
            </w:r>
            <w:r>
              <w:t xml:space="preserve"> </w:t>
            </w:r>
            <w:r>
              <w:rPr>
                <w:iCs/>
                <w:i/>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Cs/>
                <w:i/>
              </w:rPr>
              <w:t xml:space="preserve">Implications and Next Steps</w:t>
            </w:r>
            <w:r>
              <w:t xml:space="preserve"> </w:t>
            </w:r>
            <w:r>
              <w:t xml:space="preserve">calls for prespecified thresholds</w:t>
            </w:r>
          </w:p>
        </w:tc>
      </w:tr>
      <w:tr>
        <w:tc>
          <w:p>
            <w:pPr>
              <w:pStyle w:val="Compact"/>
              <w:jc w:val="center"/>
            </w:pPr>
            <w:r>
              <w:t xml:space="preserve">16</w:t>
            </w:r>
          </w:p>
        </w:tc>
        <w:tc>
          <w:p>
            <w:pPr>
              <w:pStyle w:val="Compact"/>
              <w:jc w:val="center"/>
            </w:pPr>
            <w:r>
              <w:t xml:space="preserve">D;E</w:t>
            </w:r>
          </w:p>
        </w:tc>
        <w:tc>
          <w:p>
            <w:pPr>
              <w:pStyle w:val="Compact"/>
              <w:jc w:val="left"/>
            </w:pPr>
            <w:r>
              <w:t xml:space="preserve">Identify any differences between the development and evaluation data in healthcare setting, eligibility criteria, outcome, and predictors</w:t>
            </w:r>
          </w:p>
        </w:tc>
        <w:tc>
          <w:p>
            <w:pPr>
              <w:pStyle w:val="Compact"/>
              <w:jc w:val="left"/>
            </w:pPr>
            <w:r>
              <w:t xml:space="preserve">None: both partitions are one random stratified split of one cohort, with identical setting, eligibility, outcome, and predictors (Methods,</w:t>
            </w:r>
            <w:r>
              <w:t xml:space="preserve"> </w:t>
            </w:r>
            <w:r>
              <w:rPr>
                <w:iCs/>
                <w:i/>
              </w:rPr>
              <w:t xml:space="preserve">Model Development and Evaluation</w:t>
            </w:r>
            <w:r>
              <w:t xml:space="preserve">; Supplement M8). Balance: Results,</w:t>
            </w:r>
            <w:r>
              <w:t xml:space="preserve"> </w:t>
            </w:r>
            <w:r>
              <w:rPr>
                <w:iCs/>
                <w:i/>
              </w:rPr>
              <w:t xml:space="preserve">Cohort Characteristics</w:t>
            </w:r>
            <w:r>
              <w:t xml:space="preserve"> </w:t>
            </w:r>
            <w:r>
              <w:t xml:space="preserve">(maximum absolute standardized mean difference 0.036); Supplement S8, Table S9</w:t>
            </w:r>
          </w:p>
        </w:tc>
      </w:tr>
      <w:tr>
        <w:tc>
          <w:p>
            <w:pPr>
              <w:pStyle w:val="Compact"/>
              <w:jc w:val="center"/>
            </w:pPr>
            <w:r>
              <w:t xml:space="preserve">17</w:t>
            </w:r>
          </w:p>
        </w:tc>
        <w:tc>
          <w:p>
            <w:pPr>
              <w:pStyle w:val="Compact"/>
              <w:jc w:val="center"/>
            </w:pPr>
            <w:r>
              <w:t xml:space="preserve">D;E</w:t>
            </w:r>
          </w:p>
        </w:tc>
        <w:tc>
          <w:p>
            <w:pPr>
              <w:pStyle w:val="Compact"/>
              <w:jc w:val="left"/>
            </w:pPr>
            <w:r>
              <w:t xml:space="preserve">Name the institutional research board or ethics committee that approved the study and describe the participant-informed consent or the ethics committee waiver of informed consent</w:t>
            </w:r>
          </w:p>
        </w:tc>
        <w:tc>
          <w:p>
            <w:pPr>
              <w:pStyle w:val="Compact"/>
              <w:jc w:val="left"/>
            </w:pPr>
            <w:r>
              <w:t xml:space="preserve">Methods,</w:t>
            </w:r>
            <w:r>
              <w:t xml:space="preserve"> </w:t>
            </w:r>
            <w:r>
              <w:rPr>
                <w:iCs/>
                <w:i/>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22"/>
    <w:bookmarkStart w:id="23" w:name="open-science"/>
    <w:p>
      <w:pPr>
        <w:pStyle w:val="Heading2"/>
      </w:pPr>
      <w:r>
        <w:t xml:space="preserve">Open science</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18a</w:t>
            </w:r>
          </w:p>
        </w:tc>
        <w:tc>
          <w:p>
            <w:pPr>
              <w:pStyle w:val="Compact"/>
              <w:jc w:val="center"/>
            </w:pPr>
            <w:r>
              <w:t xml:space="preserve">D;E</w:t>
            </w:r>
          </w:p>
        </w:tc>
        <w:tc>
          <w:p>
            <w:pPr>
              <w:pStyle w:val="Compact"/>
              <w:jc w:val="left"/>
            </w:pPr>
            <w:r>
              <w:t xml:space="preserve">Give the source of funding and the role of the funders for the present study</w:t>
            </w:r>
          </w:p>
        </w:tc>
        <w:tc>
          <w:p>
            <w:pPr>
              <w:pStyle w:val="Compact"/>
              <w:jc w:val="left"/>
            </w:pPr>
            <w:r>
              <w:t xml:space="preserve">Funding. The William K. Warren Foundation, with no other funding agency; the funder had no role in design, analysis, interpretation, writing, or the decision to submit</w:t>
            </w:r>
          </w:p>
        </w:tc>
      </w:tr>
      <w:tr>
        <w:tc>
          <w:p>
            <w:pPr>
              <w:pStyle w:val="Compact"/>
              <w:jc w:val="center"/>
            </w:pPr>
            <w:r>
              <w:t xml:space="preserve">18b</w:t>
            </w:r>
          </w:p>
        </w:tc>
        <w:tc>
          <w:p>
            <w:pPr>
              <w:pStyle w:val="Compact"/>
              <w:jc w:val="center"/>
            </w:pPr>
            <w:r>
              <w:t xml:space="preserve">D;E</w:t>
            </w:r>
          </w:p>
        </w:tc>
        <w:tc>
          <w:p>
            <w:pPr>
              <w:pStyle w:val="Compact"/>
              <w:jc w:val="left"/>
            </w:pPr>
            <w:r>
              <w:t xml:space="preserve">Declare any conflicts of interest and financial disclosures for all authors</w:t>
            </w:r>
          </w:p>
        </w:tc>
        <w:tc>
          <w:p>
            <w:pPr>
              <w:pStyle w:val="Compact"/>
              <w:jc w:val="left"/>
            </w:pPr>
            <w:r>
              <w:t xml:space="preserve">Conflicts of Interest. None declared</w:t>
            </w:r>
          </w:p>
        </w:tc>
      </w:tr>
      <w:tr>
        <w:tc>
          <w:p>
            <w:pPr>
              <w:pStyle w:val="Compact"/>
              <w:jc w:val="center"/>
            </w:pPr>
            <w:r>
              <w:t xml:space="preserve">18c</w:t>
            </w:r>
          </w:p>
        </w:tc>
        <w:tc>
          <w:p>
            <w:pPr>
              <w:pStyle w:val="Compact"/>
              <w:jc w:val="center"/>
            </w:pPr>
            <w:r>
              <w:t xml:space="preserve">D;E</w:t>
            </w:r>
          </w:p>
        </w:tc>
        <w:tc>
          <w:p>
            <w:pPr>
              <w:pStyle w:val="Compact"/>
              <w:jc w:val="left"/>
            </w:pPr>
            <w:r>
              <w:t xml:space="preserve">Indicate where the study protocol can be accessed or state that a protocol was not prepared</w:t>
            </w:r>
          </w:p>
        </w:tc>
        <w:tc>
          <w:p>
            <w:pPr>
              <w:pStyle w:val="Compact"/>
              <w:jc w:val="left"/>
            </w:pPr>
            <w:r>
              <w:t xml:space="preserve">Protocol and Registration. No study protocol was prepared</w:t>
            </w:r>
          </w:p>
        </w:tc>
      </w:tr>
      <w:tr>
        <w:tc>
          <w:p>
            <w:pPr>
              <w:pStyle w:val="Compact"/>
              <w:jc w:val="center"/>
            </w:pPr>
            <w:r>
              <w:t xml:space="preserve">18d</w:t>
            </w:r>
          </w:p>
        </w:tc>
        <w:tc>
          <w:p>
            <w:pPr>
              <w:pStyle w:val="Compact"/>
              <w:jc w:val="center"/>
            </w:pPr>
            <w:r>
              <w:t xml:space="preserve">D;E</w:t>
            </w:r>
          </w:p>
        </w:tc>
        <w:tc>
          <w:p>
            <w:pPr>
              <w:pStyle w:val="Compact"/>
              <w:jc w:val="left"/>
            </w:pPr>
            <w:r>
              <w:t xml:space="preserve">Provide registration information for the study, including register name and registration number, or state that the study was not registered</w:t>
            </w:r>
          </w:p>
        </w:tc>
        <w:tc>
          <w:p>
            <w:pPr>
              <w:pStyle w:val="Compact"/>
              <w:jc w:val="left"/>
            </w:pPr>
            <w:r>
              <w:t xml:space="preserve">Protocol and Registration. The study was not registered</w:t>
            </w:r>
          </w:p>
        </w:tc>
      </w:tr>
      <w:tr>
        <w:tc>
          <w:p>
            <w:pPr>
              <w:pStyle w:val="Compact"/>
              <w:jc w:val="center"/>
            </w:pPr>
            <w:r>
              <w:t xml:space="preserve">18e</w:t>
            </w:r>
          </w:p>
        </w:tc>
        <w:tc>
          <w:p>
            <w:pPr>
              <w:pStyle w:val="Compact"/>
              <w:jc w:val="center"/>
            </w:pPr>
            <w:r>
              <w:t xml:space="preserve">D;E</w:t>
            </w:r>
          </w:p>
        </w:tc>
        <w:tc>
          <w:p>
            <w:pPr>
              <w:pStyle w:val="Compact"/>
              <w:jc w:val="left"/>
            </w:pPr>
            <w:r>
              <w:t xml:space="preserve">Provide details of the availability of the study data</w:t>
            </w:r>
          </w:p>
        </w:tc>
        <w:tc>
          <w:p>
            <w:pPr>
              <w:pStyle w:val="Compact"/>
              <w:jc w:val="left"/>
            </w:pPr>
            <w:r>
              <w:t xml:space="preserve">Data Availability. The EHR data cannot be shared publicly</w:t>
            </w:r>
          </w:p>
        </w:tc>
      </w:tr>
      <w:tr>
        <w:tc>
          <w:p>
            <w:pPr>
              <w:pStyle w:val="Compact"/>
              <w:jc w:val="center"/>
            </w:pPr>
            <w:r>
              <w:t xml:space="preserve">18f</w:t>
            </w:r>
          </w:p>
        </w:tc>
        <w:tc>
          <w:p>
            <w:pPr>
              <w:pStyle w:val="Compact"/>
              <w:jc w:val="center"/>
            </w:pPr>
            <w:r>
              <w:t xml:space="preserve">D;E</w:t>
            </w:r>
          </w:p>
        </w:tc>
        <w:tc>
          <w:p>
            <w:pPr>
              <w:pStyle w:val="Compact"/>
              <w:jc w:val="left"/>
            </w:pPr>
            <w:r>
              <w:t xml:space="preserve">Provide details of the availability of the analytical code</w:t>
            </w:r>
          </w:p>
        </w:tc>
        <w:tc>
          <w:p>
            <w:pPr>
              <w:pStyle w:val="Compact"/>
              <w:jc w:val="left"/>
            </w:pPr>
            <w:r>
              <w:t xml:space="preserve">Data Availability. Analysis code is public at https://github.com/Pirate-Hunter-Zoro/TRD-EHR; software is named in Methods,</w:t>
            </w:r>
            <w:r>
              <w:t xml:space="preserve"> </w:t>
            </w:r>
            <w:r>
              <w:rPr>
                <w:iCs/>
                <w:i/>
              </w:rPr>
              <w:t xml:space="preserve">Supporting Analyses</w:t>
            </w:r>
            <w:r>
              <w:t xml:space="preserve"> </w:t>
            </w:r>
            <w:r>
              <w:t xml:space="preserve">[22,26,27]</w:t>
            </w:r>
          </w:p>
        </w:tc>
      </w:tr>
    </w:tbl>
    <w:bookmarkEnd w:id="23"/>
    <w:bookmarkStart w:id="24" w:name="patient-and-public-involvement"/>
    <w:p>
      <w:pPr>
        <w:pStyle w:val="Heading2"/>
      </w:pPr>
      <w:r>
        <w:t xml:space="preserve">Patient and public involvement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19</w:t>
            </w:r>
          </w:p>
        </w:tc>
        <w:tc>
          <w:p>
            <w:pPr>
              <w:pStyle w:val="Compact"/>
              <w:jc w:val="center"/>
            </w:pPr>
            <w:r>
              <w:t xml:space="preserve">D;E</w:t>
            </w:r>
          </w:p>
        </w:tc>
        <w:tc>
          <w:p>
            <w:pPr>
              <w:pStyle w:val="Compact"/>
              <w:jc w:val="left"/>
            </w:pPr>
            <w:r>
              <w:t xml:space="preserve">Provide details of any patient and public involvement during the design, conduct, reporting, interpretation, or dissemination of the study or state no involvement</w:t>
            </w:r>
          </w:p>
        </w:tc>
        <w:tc>
          <w:p>
            <w:pPr>
              <w:pStyle w:val="Compact"/>
              <w:jc w:val="left"/>
            </w:pPr>
            <w:r>
              <w:t xml:space="preserve">Methods,</w:t>
            </w:r>
            <w:r>
              <w:t xml:space="preserve"> </w:t>
            </w:r>
            <w:r>
              <w:rPr>
                <w:iCs/>
                <w:i/>
              </w:rPr>
              <w:t xml:space="preserve">Ethical Considerations</w:t>
            </w:r>
            <w:r>
              <w:t xml:space="preserve">. No patients or members of the public participated</w:t>
            </w:r>
          </w:p>
        </w:tc>
      </w:tr>
    </w:tbl>
    <w:bookmarkEnd w:id="24"/>
    <w:bookmarkStart w:id="25" w:name="results"/>
    <w:p>
      <w:pPr>
        <w:pStyle w:val="Heading2"/>
      </w:pPr>
      <w:r>
        <w:t xml:space="preserve">Results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20a</w:t>
            </w:r>
          </w:p>
        </w:tc>
        <w:tc>
          <w:p>
            <w:pPr>
              <w:pStyle w:val="Compact"/>
              <w:jc w:val="center"/>
            </w:pPr>
            <w:r>
              <w:t xml:space="preserve">D;E</w:t>
            </w:r>
          </w:p>
        </w:tc>
        <w:tc>
          <w:p>
            <w:pPr>
              <w:pStyle w:val="Compact"/>
              <w:jc w:val="left"/>
            </w:pPr>
            <w:r>
              <w:t xml:space="preserve">Describe the flow of participants through the study, including the number of participants with and without the outcome and, if applicable, a summary of the follow-up time</w:t>
            </w:r>
          </w:p>
        </w:tc>
        <w:tc>
          <w:p>
            <w:pPr>
              <w:pStyle w:val="Compact"/>
              <w:jc w:val="left"/>
            </w:pPr>
            <w:r>
              <w:t xml:space="preserve">Results,</w:t>
            </w:r>
            <w:r>
              <w:t xml:space="preserve"> </w:t>
            </w:r>
            <w:r>
              <w:rPr>
                <w:iCs/>
                <w:i/>
              </w:rPr>
              <w:t xml:space="preserve">Cohort Characteristics</w:t>
            </w:r>
            <w:r>
              <w:t xml:space="preserve">; Supplement M2, Table M1 (501,718 → 42,579; 7,455 outcome-positive, 17.5%). At least 365 days of follow-up is imposed by eligibility (Methods,</w:t>
            </w:r>
            <w:r>
              <w:t xml:space="preserve"> </w:t>
            </w:r>
            <w:r>
              <w:rPr>
                <w:iCs/>
                <w:i/>
              </w:rPr>
              <w:t xml:space="preserve">Participants and Prediction Time</w:t>
            </w:r>
            <w:r>
              <w:t xml:space="preserve">)</w:t>
            </w:r>
          </w:p>
        </w:tc>
      </w:tr>
      <w:tr>
        <w:tc>
          <w:p>
            <w:pPr>
              <w:pStyle w:val="Compact"/>
              <w:jc w:val="center"/>
            </w:pPr>
            <w:r>
              <w:t xml:space="preserve">20b</w:t>
            </w:r>
          </w:p>
        </w:tc>
        <w:tc>
          <w:p>
            <w:pPr>
              <w:pStyle w:val="Compact"/>
              <w:jc w:val="center"/>
            </w:pPr>
            <w:r>
              <w:t xml:space="preserve">D;E</w:t>
            </w:r>
          </w:p>
        </w:tc>
        <w:tc>
          <w:p>
            <w:pPr>
              <w:pStyle w:val="Compact"/>
              <w:jc w:val="lef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p>
            <w:pPr>
              <w:pStyle w:val="Compact"/>
              <w:jc w:val="left"/>
            </w:pPr>
            <w:r>
              <w:t xml:space="preserve">Results,</w:t>
            </w:r>
            <w:r>
              <w:t xml:space="preserve"> </w:t>
            </w:r>
            <w:r>
              <w:rPr>
                <w:iCs/>
                <w:i/>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p>
            <w:pPr>
              <w:pStyle w:val="Compact"/>
              <w:jc w:val="center"/>
            </w:pPr>
            <w:r>
              <w:t xml:space="preserve">20c</w:t>
            </w:r>
          </w:p>
        </w:tc>
        <w:tc>
          <w:p>
            <w:pPr>
              <w:pStyle w:val="Compact"/>
              <w:jc w:val="center"/>
            </w:pPr>
            <w:r>
              <w:t xml:space="preserve">E</w:t>
            </w:r>
          </w:p>
        </w:tc>
        <w:tc>
          <w:p>
            <w:pPr>
              <w:pStyle w:val="Compact"/>
              <w:jc w:val="left"/>
            </w:pPr>
            <w:r>
              <w:t xml:space="preserve">For model evaluation, show a comparison with the development data of the distribution of important predictors</w:t>
            </w:r>
          </w:p>
        </w:tc>
        <w:tc>
          <w:p>
            <w:pPr>
              <w:pStyle w:val="Compact"/>
              <w:jc w:val="left"/>
            </w:pPr>
            <w:r>
              <w:t xml:space="preserve">Results,</w:t>
            </w:r>
            <w:r>
              <w:t xml:space="preserve"> </w:t>
            </w:r>
            <w:r>
              <w:rPr>
                <w:iCs/>
                <w:i/>
              </w:rPr>
              <w:t xml:space="preserve">Cohort Characteristics</w:t>
            </w:r>
            <w:r>
              <w:t xml:space="preserve">; Supplement S8, Table S9 (training against test on the Table 1 characteristics). Maximum absolute standardized mean difference 0.036 over 100 predictor rows</w:t>
            </w:r>
          </w:p>
        </w:tc>
      </w:tr>
      <w:tr>
        <w:tc>
          <w:p>
            <w:pPr>
              <w:pStyle w:val="Compact"/>
              <w:jc w:val="center"/>
            </w:pPr>
            <w:r>
              <w:t xml:space="preserve">21</w:t>
            </w:r>
          </w:p>
        </w:tc>
        <w:tc>
          <w:p>
            <w:pPr>
              <w:pStyle w:val="Compact"/>
              <w:jc w:val="center"/>
            </w:pPr>
            <w:r>
              <w:t xml:space="preserve">D;E</w:t>
            </w:r>
          </w:p>
        </w:tc>
        <w:tc>
          <w:p>
            <w:pPr>
              <w:pStyle w:val="Compact"/>
              <w:jc w:val="left"/>
            </w:pPr>
            <w:r>
              <w:t xml:space="preserve">Specify the number of participants and outcome events in each analysis</w:t>
            </w:r>
          </w:p>
        </w:tc>
        <w:tc>
          <w:p>
            <w:pPr>
              <w:pStyle w:val="Compact"/>
              <w:jc w:val="left"/>
            </w:pPr>
            <w:r>
              <w:t xml:space="preserve">Methods,</w:t>
            </w:r>
            <w:r>
              <w:t xml:space="preserve"> </w:t>
            </w:r>
            <w:r>
              <w:rPr>
                <w:iCs/>
                <w:i/>
              </w:rPr>
              <w:t xml:space="preserve">Model Development and Evaluation</w:t>
            </w:r>
            <w:r>
              <w:t xml:space="preserve">; Supplement M7, M8. Training 34,063 (5,964 events); test 8,516 (1,491 events). Per-subgroup counts and events: Supplement S9, Tables S10–S11</w:t>
            </w:r>
          </w:p>
        </w:tc>
      </w:tr>
      <w:tr>
        <w:tc>
          <w:p>
            <w:pPr>
              <w:pStyle w:val="Compact"/>
              <w:jc w:val="center"/>
            </w:pPr>
            <w:r>
              <w:t xml:space="preserve">22</w:t>
            </w:r>
          </w:p>
        </w:tc>
        <w:tc>
          <w:p>
            <w:pPr>
              <w:pStyle w:val="Compact"/>
              <w:jc w:val="center"/>
            </w:pPr>
            <w:r>
              <w:t xml:space="preserve">D</w:t>
            </w:r>
          </w:p>
        </w:tc>
        <w:tc>
          <w:p>
            <w:pPr>
              <w:pStyle w:val="Compact"/>
              <w:jc w:val="left"/>
            </w:pPr>
            <w:r>
              <w:t xml:space="preserve">Provide details of the full prediction model to allow predictions in new individuals and to enable third-party evaluation and implementation, including any restrictions to access or re-use</w:t>
            </w:r>
          </w:p>
        </w:tc>
        <w:tc>
          <w:p>
            <w:pPr>
              <w:pStyle w:val="Compact"/>
              <w:jc w:val="left"/>
            </w:pPr>
            <w:r>
              <w:rPr>
                <w:bCs/>
                <w:b/>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Cs/>
                <w:i/>
              </w:rPr>
              <w:t xml:space="preserve">Supporting Analyses</w:t>
            </w:r>
            <w:r>
              <w:t xml:space="preserve">, Equations 1–2). Fitted model objects are not distributed because they derive from non-shareable patient data (Data Availability)</w:t>
            </w:r>
          </w:p>
        </w:tc>
      </w:tr>
      <w:tr>
        <w:tc>
          <w:p>
            <w:pPr>
              <w:pStyle w:val="Compact"/>
              <w:jc w:val="center"/>
            </w:pPr>
            <w:r>
              <w:t xml:space="preserve">23a</w:t>
            </w:r>
          </w:p>
        </w:tc>
        <w:tc>
          <w:p>
            <w:pPr>
              <w:pStyle w:val="Compact"/>
              <w:jc w:val="center"/>
            </w:pPr>
            <w:r>
              <w:t xml:space="preserve">D;E</w:t>
            </w:r>
          </w:p>
        </w:tc>
        <w:tc>
          <w:p>
            <w:pPr>
              <w:pStyle w:val="Compact"/>
              <w:jc w:val="left"/>
            </w:pPr>
            <w:r>
              <w:t xml:space="preserve">Report model performance estimates with confidence intervals, including for any key subgroups. Consider plots to aid presentation</w:t>
            </w:r>
          </w:p>
        </w:tc>
        <w:tc>
          <w:p>
            <w:pPr>
              <w:pStyle w:val="Compact"/>
              <w:jc w:val="left"/>
            </w:pPr>
            <w:r>
              <w:t xml:space="preserve">Results,</w:t>
            </w:r>
            <w:r>
              <w:t xml:space="preserve"> </w:t>
            </w:r>
            <w:r>
              <w:rPr>
                <w:iCs/>
                <w:i/>
              </w:rPr>
              <w:t xml:space="preserve">Discrimination and Calibration</w:t>
            </w:r>
            <w:r>
              <w:t xml:space="preserve"> </w:t>
            </w:r>
            <w:r>
              <w:t xml:space="preserve">(Table 2, Figure 2);</w:t>
            </w:r>
            <w:r>
              <w:t xml:space="preserve"> </w:t>
            </w:r>
            <w:r>
              <w:rPr>
                <w:iCs/>
                <w:i/>
              </w:rPr>
              <w:t xml:space="preserve">Clinical Contributions and Encoder Robustness</w:t>
            </w:r>
            <w:r>
              <w:t xml:space="preserve"> </w:t>
            </w:r>
            <w:r>
              <w:t xml:space="preserve">(Table 3, Figure 3);</w:t>
            </w:r>
            <w:r>
              <w:t xml:space="preserve"> </w:t>
            </w:r>
            <w:r>
              <w:rPr>
                <w:iCs/>
                <w:i/>
              </w:rPr>
              <w:t xml:space="preserve">Retrieval and Subgroup Performance</w:t>
            </w:r>
            <w:r>
              <w:t xml:space="preserve"> </w:t>
            </w:r>
            <w:r>
              <w:t xml:space="preserve">(Figure 4); Supplement S2–S3, S6 (Table S7), S12 (Table S15). Subgroup performance: Supplement S9 (Tables S10–S12, Figure S11)</w:t>
            </w:r>
          </w:p>
        </w:tc>
      </w:tr>
      <w:tr>
        <w:tc>
          <w:p>
            <w:pPr>
              <w:pStyle w:val="Compact"/>
              <w:jc w:val="center"/>
            </w:pPr>
            <w:r>
              <w:t xml:space="preserve">23b</w:t>
            </w:r>
          </w:p>
        </w:tc>
        <w:tc>
          <w:p>
            <w:pPr>
              <w:pStyle w:val="Compact"/>
              <w:jc w:val="center"/>
            </w:pPr>
            <w:r>
              <w:t xml:space="preserve">D;E</w:t>
            </w:r>
          </w:p>
        </w:tc>
        <w:tc>
          <w:p>
            <w:pPr>
              <w:pStyle w:val="Compact"/>
              <w:jc w:val="left"/>
            </w:pPr>
            <w:r>
              <w:t xml:space="preserve">If examined, report results of any heterogeneity in model performance across clusters</w:t>
            </w:r>
          </w:p>
        </w:tc>
        <w:tc>
          <w:p>
            <w:pPr>
              <w:pStyle w:val="Compact"/>
              <w:jc w:val="left"/>
            </w:pPr>
            <w:r>
              <w:t xml:space="preserve">Not applicable. Not examined; see item 12d</w:t>
            </w:r>
          </w:p>
        </w:tc>
      </w:tr>
      <w:tr>
        <w:tc>
          <w:p>
            <w:pPr>
              <w:pStyle w:val="Compact"/>
              <w:jc w:val="center"/>
            </w:pPr>
            <w:r>
              <w:t xml:space="preserve">24</w:t>
            </w:r>
          </w:p>
        </w:tc>
        <w:tc>
          <w:p>
            <w:pPr>
              <w:pStyle w:val="Compact"/>
              <w:jc w:val="center"/>
            </w:pPr>
            <w:r>
              <w:t xml:space="preserve">E</w:t>
            </w:r>
          </w:p>
        </w:tc>
        <w:tc>
          <w:p>
            <w:pPr>
              <w:pStyle w:val="Compact"/>
              <w:jc w:val="left"/>
            </w:pPr>
            <w:r>
              <w:t xml:space="preserve">Report the results from any model updating, including the updated model and subsequent performance</w:t>
            </w:r>
          </w:p>
        </w:tc>
        <w:tc>
          <w:p>
            <w:pPr>
              <w:pStyle w:val="Compact"/>
              <w:jc w:val="lef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25</w:t>
            </w:r>
          </w:p>
        </w:tc>
        <w:tc>
          <w:p>
            <w:pPr>
              <w:pStyle w:val="Compact"/>
              <w:jc w:val="center"/>
            </w:pPr>
            <w:r>
              <w:t xml:space="preserve">D;E</w:t>
            </w:r>
          </w:p>
        </w:tc>
        <w:tc>
          <w:p>
            <w:pPr>
              <w:pStyle w:val="Compact"/>
              <w:jc w:val="left"/>
            </w:pPr>
            <w:r>
              <w:t xml:space="preserve">Give an overall interpretation of the main results, including issues of fairness in the context of the objectives and previous studies</w:t>
            </w:r>
          </w:p>
        </w:tc>
        <w:tc>
          <w:p>
            <w:pPr>
              <w:pStyle w:val="Compact"/>
              <w:jc w:val="left"/>
            </w:pPr>
            <w:r>
              <w:t xml:space="preserve">Discussion,</w:t>
            </w:r>
            <w:r>
              <w:t xml:space="preserve"> </w:t>
            </w:r>
            <w:r>
              <w:rPr>
                <w:iCs/>
                <w:i/>
              </w:rPr>
              <w:t xml:space="preserve">Principal Findings</w:t>
            </w:r>
            <w:r>
              <w:t xml:space="preserve"> </w:t>
            </w:r>
            <w:r>
              <w:t xml:space="preserve">and</w:t>
            </w:r>
            <w:r>
              <w:t xml:space="preserve"> </w:t>
            </w:r>
            <w:r>
              <w:rPr>
                <w:iCs/>
                <w:i/>
              </w:rPr>
              <w:t xml:space="preserve">Comparison With Prior Work</w:t>
            </w:r>
            <w:r>
              <w:t xml:space="preserve"> </w:t>
            </w:r>
            <w:r>
              <w:t xml:space="preserve">[12-15]. Fairness: Discussion,</w:t>
            </w:r>
            <w:r>
              <w:t xml:space="preserve"> </w:t>
            </w:r>
            <w:r>
              <w:rPr>
                <w:iCs/>
                <w:i/>
              </w:rPr>
              <w:t xml:space="preserve">Clinical Interpretation and Limitations</w:t>
            </w:r>
            <w:r>
              <w:t xml:space="preserve">, paragraph 3 [28,29]</w:t>
            </w:r>
          </w:p>
        </w:tc>
      </w:tr>
      <w:tr>
        <w:tc>
          <w:p>
            <w:pPr>
              <w:pStyle w:val="Compact"/>
              <w:jc w:val="center"/>
            </w:pPr>
            <w:r>
              <w:t xml:space="preserve">26</w:t>
            </w:r>
          </w:p>
        </w:tc>
        <w:tc>
          <w:p>
            <w:pPr>
              <w:pStyle w:val="Compact"/>
              <w:jc w:val="center"/>
            </w:pPr>
            <w:r>
              <w:t xml:space="preserve">D;E</w:t>
            </w:r>
          </w:p>
        </w:tc>
        <w:tc>
          <w:p>
            <w:pPr>
              <w:pStyle w:val="Compact"/>
              <w:jc w:val="left"/>
            </w:pPr>
            <w:r>
              <w:t xml:space="preserve">Discuss any limitations of the study and their effects on any biases, statistical uncertainty, and generalizability</w:t>
            </w:r>
          </w:p>
        </w:tc>
        <w:tc>
          <w:p>
            <w:pPr>
              <w:pStyle w:val="Compact"/>
              <w:jc w:val="left"/>
            </w:pPr>
            <w:r>
              <w:t xml:space="preserve">Discussion,</w:t>
            </w:r>
            <w:r>
              <w:t xml:space="preserve"> </w:t>
            </w:r>
            <w:r>
              <w:rPr>
                <w:iCs/>
                <w:i/>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Cs/>
                <w:i/>
              </w:rPr>
              <w:t xml:space="preserve">Model Development and Evaluation</w:t>
            </w:r>
            <w:r>
              <w:t xml:space="preserve"> </w:t>
            </w:r>
            <w:r>
              <w:t xml:space="preserve">(post hoc best-model comparison; no equivalence margin). Unequal field content between the pipelines: Methods,</w:t>
            </w:r>
            <w:r>
              <w:t xml:space="preserve"> </w:t>
            </w:r>
            <w:r>
              <w:rPr>
                <w:iCs/>
                <w:i/>
              </w:rPr>
              <w:t xml:space="preserve">Patient Representations and Missing Data</w:t>
            </w:r>
            <w:r>
              <w:t xml:space="preserve">; Supplement S10</w:t>
            </w:r>
          </w:p>
        </w:tc>
      </w:tr>
      <w:tr>
        <w:tc>
          <w:p>
            <w:pPr>
              <w:pStyle w:val="Compact"/>
              <w:jc w:val="center"/>
            </w:pPr>
            <w:r>
              <w:t xml:space="preserve">27a</w:t>
            </w:r>
          </w:p>
        </w:tc>
        <w:tc>
          <w:p>
            <w:pPr>
              <w:pStyle w:val="Compact"/>
              <w:jc w:val="center"/>
            </w:pPr>
            <w:r>
              <w:t xml:space="preserve">D</w:t>
            </w:r>
          </w:p>
        </w:tc>
        <w:tc>
          <w:p>
            <w:pPr>
              <w:pStyle w:val="Compact"/>
              <w:jc w:val="left"/>
            </w:pPr>
            <w:r>
              <w:t xml:space="preserve">Describe how poor quality or unavailable input data should be assessed and handled when implementing the prediction model</w:t>
            </w:r>
          </w:p>
        </w:tc>
        <w:tc>
          <w:p>
            <w:pPr>
              <w:pStyle w:val="Compact"/>
              <w:jc w:val="left"/>
            </w:pPr>
            <w:r>
              <w:rPr>
                <w:bCs/>
                <w:b/>
              </w:rPr>
              <w:t xml:space="preserve">Not reported.</w:t>
            </w:r>
            <w:r>
              <w:t xml:space="preserve"> </w:t>
            </w:r>
            <w:r>
              <w:t xml:space="preserve">Missing-data handling is specified for model development (Methods,</w:t>
            </w:r>
            <w:r>
              <w:t xml:space="preserve"> </w:t>
            </w:r>
            <w:r>
              <w:rPr>
                <w:iCs/>
                <w:i/>
              </w:rPr>
              <w:t xml:space="preserve">Patient Representations and Missing Data</w:t>
            </w:r>
            <w:r>
              <w:t xml:space="preserve">) but no implementation-time guidance is given, consistent with the study not supporting deployment (Discussion,</w:t>
            </w:r>
            <w:r>
              <w:t xml:space="preserve"> </w:t>
            </w:r>
            <w:r>
              <w:rPr>
                <w:iCs/>
                <w:i/>
              </w:rPr>
              <w:t xml:space="preserve">Implications and Next Steps</w:t>
            </w:r>
            <w:r>
              <w:t xml:space="preserve">)</w:t>
            </w:r>
          </w:p>
        </w:tc>
      </w:tr>
      <w:tr>
        <w:tc>
          <w:p>
            <w:pPr>
              <w:pStyle w:val="Compact"/>
              <w:jc w:val="center"/>
            </w:pPr>
            <w:r>
              <w:t xml:space="preserve">27b</w:t>
            </w:r>
          </w:p>
        </w:tc>
        <w:tc>
          <w:p>
            <w:pPr>
              <w:pStyle w:val="Compact"/>
              <w:jc w:val="center"/>
            </w:pPr>
            <w:r>
              <w:t xml:space="preserve">D</w:t>
            </w:r>
          </w:p>
        </w:tc>
        <w:tc>
          <w:p>
            <w:pPr>
              <w:pStyle w:val="Compact"/>
              <w:jc w:val="left"/>
            </w:pPr>
            <w:r>
              <w:t xml:space="preserve">Specify whether users will be required to interact in the handling of the input data or use of the model, and what level of expertise is required of users</w:t>
            </w:r>
          </w:p>
        </w:tc>
        <w:tc>
          <w:p>
            <w:pPr>
              <w:pStyle w:val="Compact"/>
              <w:jc w:val="left"/>
            </w:pPr>
            <w:r>
              <w:t xml:space="preserve">Not applicable. The results do not support clinical deployment (Discussion,</w:t>
            </w:r>
            <w:r>
              <w:t xml:space="preserve"> </w:t>
            </w:r>
            <w:r>
              <w:rPr>
                <w:iCs/>
                <w:i/>
              </w:rPr>
              <w:t xml:space="preserve">Implications and Next Steps</w:t>
            </w:r>
            <w:r>
              <w:t xml:space="preserve">), and no user-facing implementation is proposed</w:t>
            </w:r>
          </w:p>
        </w:tc>
      </w:tr>
      <w:tr>
        <w:tc>
          <w:p>
            <w:pPr>
              <w:pStyle w:val="Compact"/>
              <w:jc w:val="center"/>
            </w:pPr>
            <w:r>
              <w:t xml:space="preserve">27c</w:t>
            </w:r>
          </w:p>
        </w:tc>
        <w:tc>
          <w:p>
            <w:pPr>
              <w:pStyle w:val="Compact"/>
              <w:jc w:val="center"/>
            </w:pPr>
            <w:r>
              <w:t xml:space="preserve">D;E</w:t>
            </w:r>
          </w:p>
        </w:tc>
        <w:tc>
          <w:p>
            <w:pPr>
              <w:pStyle w:val="Compact"/>
              <w:jc w:val="left"/>
            </w:pPr>
            <w:r>
              <w:t xml:space="preserve">Discuss any next steps for future research, with a specific view to applicability and generalizability of the model</w:t>
            </w:r>
          </w:p>
        </w:tc>
        <w:tc>
          <w:p>
            <w:pPr>
              <w:pStyle w:val="Compact"/>
              <w:jc w:val="left"/>
            </w:pPr>
            <w:r>
              <w:t xml:space="preserve">Discussion,</w:t>
            </w:r>
            <w:r>
              <w:t xml:space="preserve"> </w:t>
            </w:r>
            <w:r>
              <w:rPr>
                <w:iCs/>
                <w:i/>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Cs/>
                <w:i/>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Cs/>
          <w:i/>
        </w:rPr>
        <w:t xml:space="preserve">From: Collins GS, Moons KGM, Dhiman P, et al. TRIPOD+AI statement:</w:t>
      </w:r>
      <w:r>
        <w:rPr>
          <w:iCs/>
          <w:i/>
        </w:rPr>
        <w:t xml:space="preserve"> </w:t>
      </w:r>
      <w:r>
        <w:rPr>
          <w:iCs/>
          <w:i/>
        </w:rPr>
        <w:t xml:space="preserve">updated guidance for reporting clinical prediction models that use</w:t>
      </w:r>
      <w:r>
        <w:rPr>
          <w:iCs/>
          <w:i/>
        </w:rPr>
        <w:t xml:space="preserve"> </w:t>
      </w:r>
      <w:r>
        <w:rPr>
          <w:iCs/>
          <w:i/>
        </w:rPr>
        <w:t xml:space="preserve">regression or machine learning methods. BMJ 2024;385:e078378.</w:t>
      </w:r>
      <w:r>
        <w:rPr>
          <w:iCs/>
          <w:i/>
        </w:rPr>
        <w:t xml:space="preserve"> </w:t>
      </w:r>
      <w:r>
        <w:rPr>
          <w:iCs/>
          <w:i/>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2026-09-29T00:37:26Z</dcterms:created>
  <dcterms:modified xsi:type="dcterms:W3CDTF">2026-09-29T00:37:26Z</dcterms:modified>
</cp:coreProperties>
</file>

<file path=docProps/custom.xml><?xml version="1.0" encoding="utf-8"?>
<Properties xmlns="http://schemas.openxmlformats.org/officeDocument/2006/custom-properties" xmlns:vt="http://schemas.openxmlformats.org/officeDocument/2006/docPropsVTypes"/>
</file>