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15.png" ContentType="image/png"/>
  <Override PartName="/word/media/rId41.png" ContentType="image/png"/>
  <Override PartName="/word/media/rId38.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_40b5b020fd3b163194746b13251c26ddcb1f3bb"/>
    <w:p>
      <w:pPr>
        <w:pStyle w:val="Heading1"/>
      </w:pPr>
      <w:r>
        <w:t xml:space="preserve">Title page</w:t>
      </w:r>
    </w:p>
    <w:p>
      <w:pPr>
        <w:pStyle w:val="FirstParagraph"/>
      </w:pPr>
      <w:r>
        <w:rPr>
          <w:b/>
          <w:bCs/>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9" w:name="_4373836a783208412a1aff48a59a240a1ad8afd"/>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9"/>
    <w:bookmarkStart w:id="10" w:name="_7eec2310df51d7a7ec282d98e9d728fd111ee0d"/>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10"/>
    <w:bookmarkEnd w:id="11"/>
    <w:bookmarkStart w:id="12" w:name="_abstract"/>
    <w:p>
      <w:pPr>
        <w:pStyle w:val="Heading1"/>
      </w:pPr>
      <w:r>
        <w:t xml:space="preserve">Abstract</w:t>
      </w:r>
    </w:p>
    <w:p>
      <w:pPr>
        <w:pStyle w:val="FirstParagraph"/>
      </w:pPr>
      <w:r>
        <w:rPr>
          <w:b/>
          <w:bCs/>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
          <w:bCs/>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
          <w:bCs/>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
          <w:bCs/>
        </w:rPr>
        <w:t xml:space="preserve">Results:</w:t>
      </w:r>
      <w:r>
        <w:t xml:space="preserve"> </w:t>
      </w:r>
      <w:r>
        <w:t xml:space="preserve">The outcome occurred in 7,455 patients (17.5%, 95% CI 17.2–17.9).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(95% CI 0.017–0.039) but reduced discrimination for the 3 tree ensembles, by 0.013 (95% CI 0.001–0.026) to 0.022 (95% CI 0.011–0.033). Across encoders, embedded logistic regression reached 0.645 (95% CI 0.629–0.660) to 0.657 (95% CI 0.643–0.672). Permuting psychiatric history produced the largest loss for the primary encoder, 0.024 (95% CI 0.010–0.036) to 0.028 (95% CI 0.017–0.039) across classifiers; medication burden and prior treatment exposure also contributed. Permuting race/ethnicity or recorded social determinants changed ROC AUC by no more than 0.003, and every such interval included zero. Nearest-neighbor retrieval, scored at every neighborhood size from 1 to 34,063, stayed below both leading classifiers at every size. Its maximum at similarity exponent 1, 0.625 (95% CI 0.610–0.641) for logistic-regression-weighted retrieval, was read at a size chosen on the test patients and is optimistic. Randomly chosen neighbors stayed at chance, at most 0.500 (2.5th–97.5th percentile across draws 0.484–0.515).</w:t>
      </w:r>
    </w:p>
    <w:p>
      <w:pPr>
        <w:pStyle w:val="BodyText"/>
      </w:pPr>
      <w:r>
        <w:rPr>
          <w:b/>
          <w:bCs/>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Before either pipeline is used in care, 3 things need testing: whether the switching label reflects true treatment resistance, whether the models work in other health systems, and whether their predictions improve clinical decisions.</w:t>
      </w:r>
    </w:p>
    <w:p>
      <w:pPr>
        <w:pStyle w:val="BodyText"/>
      </w:pPr>
      <w:r>
        <w:t xml:space="preserve">Keywords: treatment-resistant depression; depression; electronic health records; machine learning; clinical prediction; text embeddings; antidepressants</w:t>
      </w:r>
    </w:p>
    <w:bookmarkEnd w:id="12"/>
    <w:bookmarkStart w:id="13" w:name="_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13"/>
    <w:bookmarkStart w:id="24" w:name="_methods"/>
    <w:p>
      <w:pPr>
        <w:pStyle w:val="Heading1"/>
      </w:pPr>
      <w:r>
        <w:t xml:space="preserve">Methods</w:t>
      </w:r>
    </w:p>
    <w:bookmarkStart w:id="14" w:name="_49e275e0513b8e1e92cbc33a2b96fdd1a4287bf"/>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The extract combined 2 groups: every patient with a depression flag on the problem list (100,420, 20.0%, 95% CI 19.9–20.1) and a random sample of patients without that flag (401,298, 80.0%, 95% CI 79.9–80.1). Eligibility was then decided from diagnoses recorded at encounters, not from the flag. Some patients in the random sample therefore qualified: 12,530 of the 42,579 eligible patients (29.4%, 95% CI 29.0–29.9) had no depression flag. Because every flagged patient was kept, the sample over-represents depression, and its outcome frequency is not the health system’s.</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14"/>
    <w:bookmarkStart w:id="18" w:name="_f2dd39f973457dd42f3db9d2cfa3214359c7119"/>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The index was chosen without looking at anything after it, such as later dose, duration, response, or switching.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60320"/>
            <wp:effectExtent b="0" l="0" r="0" t="0"/>
            <wp:docPr descr="" title="" id="16" name="Picture"/>
            <a:graphic>
              <a:graphicData uri="http://schemas.openxmlformats.org/drawingml/2006/picture">
                <pic:pic>
                  <pic:nvPicPr>
                    <pic:cNvPr descr="../exports/results/Qwen-Qwen3-Embedding-8B/google_medgemma-27b-text-it/time_zero_timeline.png" id="17" name="Picture"/>
                    <pic:cNvPicPr>
                      <a:picLocks noChangeArrowheads="1" noChangeAspect="1"/>
                    </pic:cNvPicPr>
                  </pic:nvPicPr>
                  <pic:blipFill>
                    <a:blip r:embed="rId15"/>
                    <a:stretch>
                      <a:fillRect/>
                    </a:stretch>
                  </pic:blipFill>
                  <pic:spPr bwMode="auto">
                    <a:xfrm>
                      <a:off x="0" y="0"/>
                      <a:ext cx="5486400" cy="2560320"/>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For 25,645 of the 42,579 patients (60.2%, 95% CI 59.8–60.7), the index prescription was written on the same day as the first depression diagnosis. EHR: electronic health record; MDD: major depressive disorder; TRD: treatment-resistant depression proxy.</w:t>
      </w:r>
    </w:p>
    <w:bookmarkEnd w:id="18"/>
    <w:bookmarkStart w:id="19" w:name="_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No symptom rating scale, such as the PHQ-9, was available to show whether a patient improved. We also could not tell whether each counted treatment was given at an adequate dose for long enough. Switching could reflect nonresponse, intolerance, preference, access, or prescribing practice. Switching also depends on access to care, and in the United States access to depression treatment differs by race and ethnicity. A patient with poor access has fewer chances to switch, so is less likely to be labeled positive, whatever their illness. The label was not checked against charts or symptom scores (Multimedia Appendix 1, section M3). We therefore call the outcome a</w:t>
      </w:r>
      <w:r>
        <w:t xml:space="preserve"> </w:t>
      </w:r>
      <w:r>
        <w:t xml:space="preserve">“TRD proxy”</w:t>
      </w:r>
      <w:r>
        <w:t xml:space="preserve"> </w:t>
      </w:r>
      <w:r>
        <w:t xml:space="preserve">rather than TRD.</w:t>
      </w:r>
    </w:p>
    <w:bookmarkEnd w:id="19"/>
    <w:bookmarkStart w:id="20" w:name="_bc2ecf9ae28c51bfb04f261c78498a3323eb498"/>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A prior antidepressant trial was counted when the patient was on the drug for at least 42 continuous days. The rule counts time on the drug only, not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0"/>
    <w:bookmarkStart w:id="21" w:name="_5f61c62670e39b803565c99f58f9215be61faf5"/>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Each classifier searched the same hyperparameter grid for both representations, and the best setting was chosen separately for each, so the selected hyperparameters could differ (Multimedia Appendix 1, sections M7–M9).</w:t>
      </w:r>
    </w:p>
    <w:p>
      <w:pPr>
        <w:pStyle w:val="BodyText"/>
      </w:pPr>
      <w:r>
        <w:t xml:space="preserve">We assessed ROC AUC, area under the precision–recall curve (AUPRC), Brier score, and calibration. All calibration estimates concern this enriched cohort.</w:t>
      </w:r>
    </w:p>
    <w:p>
      <w:pPr>
        <w:pStyle w:val="BodyText"/>
      </w:pPr>
      <w:r>
        <w:t xml:space="preserve">95% CIs came from resampling the test patients with replacement (the bootstrap). A difference between 2 models used the same resampled patients for both, which is called a paired bootstrap. We compared the representations in 2 ways. First, each classifier on embeddings was compared with the same classifier on feature vectors. Second, the best embedded model was compared with the best feature-vector model. Those 2 models were picked after seeing their test results, so the second comparison was not planned in advance. We set no margin for calling 2 models equivalent, so an interval that includes zero means no difference was found, not that the models are the same. Sensitivity and specificity at the threshold that maximized their sum in the test patients are given in Multimedia Appendix 1, section S12, as descriptions only.</w:t>
      </w:r>
    </w:p>
    <w:bookmarkEnd w:id="21"/>
    <w:bookmarkStart w:id="22" w:name="_cc823ed83dc5ec31f8d38080373b9a0a736c5b0"/>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Logistic-regression-weighted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eqArr>
            <m:e>
              <m:sSub>
                <m:e>
                  <m:r>
                    <m:rPr>
                      <m:sty m:val="p"/>
                    </m:rPr>
                    <m:t>s</m:t>
                  </m:r>
                  <m:r>
                    <m:rPr>
                      <m:sty m:val="p"/>
                    </m:rPr>
                    <m:t>i</m:t>
                  </m:r>
                  <m:r>
                    <m:rPr>
                      <m:sty m:val="p"/>
                    </m:rPr>
                    <m:t>m</m:t>
                  </m:r>
                </m:e>
                <m:sub>
                  <m:r>
                    <m:t>w</m:t>
                  </m:r>
                </m:sub>
              </m:sSub>
              <m:r>
                <m:rPr>
                  <m:sty m:val="p"/>
                </m:rPr>
                <m:t>(</m:t>
              </m:r>
              <m:r>
                <m:t>x</m:t>
              </m:r>
              <m:r>
                <m:rPr>
                  <m:sty m:val="p"/>
                </m:rPr>
                <m:t>,</m:t>
              </m:r>
              <m:r>
                <m:t>y</m:t>
              </m:r>
              <m:r>
                <m:rPr>
                  <m:sty m:val="p"/>
                </m:rPr>
                <m:t>)</m:t>
              </m:r>
              <m:r>
                <m:t>&amp;</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e>
            <m:e>
              <m:sSub>
                <m:e>
                  <m:r>
                    <m:t>w</m:t>
                  </m:r>
                </m:e>
                <m:sub>
                  <m:r>
                    <m:t>d</m:t>
                  </m:r>
                </m:sub>
              </m:sSub>
              <m:r>
                <m:t>&amp;</m:t>
              </m:r>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e>
          </m:eqArr>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off"/>
                  <m:supHide m:val="on"/>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Neighbors were chosen in 2 ways, nearest and random. Random retrieval averaged the outcomes of k training patients drawn at random, with equal weights, in 1,000 seeded draws; its interval is the 2.5th to 97.5th percentile across draws. Both were scored at every k from 1 to all 34,063 training patients, nearest retrieval under α = 1, 2, and 5. Each retrieval arm, the 2 nearest-neighbor metrics and random retrieval, therefore yields a curve over k, not a value at one k. Apart from those curves, every performance value reported for a retrieval arm is at that arm’s best k, the k with the highest ROC AUC in the test patients, except where a fixed k is named. That includes ROC curves, confusion matrices, maxima, and the AUPRC, Brier and calibration summaries. Because that k was chosen on the test patients, these values are optimistic.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22"/>
    <w:bookmarkStart w:id="23" w:name="_2167f12c33b4c5bf55da6a4c284c297820adfc8"/>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23"/>
    <w:bookmarkEnd w:id="24"/>
    <w:bookmarkStart w:id="45" w:name="_results"/>
    <w:p>
      <w:pPr>
        <w:pStyle w:val="Heading1"/>
      </w:pPr>
      <w:r>
        <w:t xml:space="preserve">Results</w:t>
      </w:r>
    </w:p>
    <w:bookmarkStart w:id="25" w:name="_05544cad0514f6a68575f9a3bde29a58fbe80a2"/>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FirstParagraph"/>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5"/>
    <w:bookmarkStart w:id="29" w:name="_4af3dff24012ff8b532b70fa2af7ea2376fc878"/>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FirstParagraph"/>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27" name="Picture"/>
            <a:graphic>
              <a:graphicData uri="http://schemas.openxmlformats.org/drawingml/2006/picture">
                <pic:pic>
                  <pic:nvPicPr>
                    <pic:cNvPr descr="../exports/results/Qwen-Qwen3-Embedding-8B/google_medgemma-27b-text-it/discrimination_forest_EMBEDDED_vs_FEATURE.png" id="28" name="Picture"/>
                    <pic:cNvPicPr>
                      <a:picLocks noChangeArrowheads="1" noChangeAspect="1"/>
                    </pic:cNvPicPr>
                  </pic:nvPicPr>
                  <pic:blipFill>
                    <a:blip r:embed="rId26"/>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29"/>
    <w:bookmarkStart w:id="33" w:name="_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FirstParagraph"/>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31" name="Picture"/>
            <a:graphic>
              <a:graphicData uri="http://schemas.openxmlformats.org/drawingml/2006/picture">
                <pic:pic>
                  <pic:nvPicPr>
                    <pic:cNvPr descr="../exports/results/cross_embedder_robustness_EMBEDDED.png" id="32" name="Picture"/>
                    <pic:cNvPicPr>
                      <a:picLocks noChangeArrowheads="1" noChangeAspect="1"/>
                    </pic:cNvPicPr>
                  </pic:nvPicPr>
                  <pic:blipFill>
                    <a:blip r:embed="rId30"/>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3"/>
    <w:bookmarkStart w:id="37" w:name="_8ca3efeaa8d9d9d1376f80bd09636098b9bcacd"/>
    <w:p>
      <w:pPr>
        <w:pStyle w:val="Heading2"/>
      </w:pPr>
      <w:r>
        <w:t xml:space="preserve">Retrieval and Subgroup Performance</w:t>
      </w:r>
    </w:p>
    <w:p>
      <w:pPr>
        <w:pStyle w:val="FirstParagraph"/>
      </w:pPr>
      <w:r>
        <w:t xml:space="preserve">Retrieval is reported as a curve over neighborhood size (Figure 4).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ROC curves and confusion matrices at each arm’s best k are in Multimedia Appendix 1, section S6.</w:t>
      </w:r>
    </w:p>
    <w:p>
      <w:pPr>
        <w:pStyle w:val="BodyText"/>
      </w:pPr>
      <w:r>
        <w:drawing>
          <wp:inline>
            <wp:extent cx="5486400" cy="4879361"/>
            <wp:effectExtent b="0" l="0" r="0" t="0"/>
            <wp:docPr descr="" title="" id="35" name="Picture"/>
            <a:graphic>
              <a:graphicData uri="http://schemas.openxmlformats.org/drawingml/2006/picture">
                <pic:pic>
                  <pic:nvPicPr>
                    <pic:cNvPr descr="../exports/results/Qwen-Qwen3-Embedding-8B/google_medgemma-27b-text-it/neighbor_count_sweep/neighbor_count_sweep_manuscript.png" id="36" name="Picture"/>
                    <pic:cNvPicPr>
                      <a:picLocks noChangeArrowheads="1" noChangeAspect="1"/>
                    </pic:cNvPicPr>
                  </pic:nvPicPr>
                  <pic:blipFill>
                    <a:blip r:embed="rId34"/>
                    <a:stretch>
                      <a:fillRect/>
                    </a:stretch>
                  </pic:blipFill>
                  <pic:spPr bwMode="auto">
                    <a:xfrm>
                      <a:off x="0" y="0"/>
                      <a:ext cx="5486400" cy="4879361"/>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ROC AUC in 8,516 test patients at every k from 1 to 34,063 for logistic-regression-weighted and plain cosine retrieval, with bootstrap 95% bands, and for random retrieval with uniform weights, as the mean across 1,000 draws within the 2.5th–97.5th percentile of the draws. Points mark each arm’s best k, chosen on the test patients, so the values there are optimistic; the random arm’s best k is noise. Horizontal lines mark the 2 leading trained classifiers. Curves use α = 1; the maxima under α = 1, 2, and 5 agreed within 0.002. Figure 5 draws the same plot for the other 3 encoders.</w:t>
      </w:r>
    </w:p>
    <w:p>
      <w:pPr>
        <w:pStyle w:val="BodyText"/>
      </w:pPr>
      <w:r>
        <w:t xml:space="preserve">Subgroup analyses scored each retrieval arm at its best k. Of 240 subgroup contrasts, 23 survived multiplicity adjustment; 19 involved depression recurrence. Discrimination was higher with recurrent coding in all 10 models contrasted and lower with single-episode coding in 9. Performance was lower among never-married patients for 2 embedded classifiers and logistic-regression-weighted retrieval, and among patients aged 18–29 for feature-vector XGBoost. Sex contrasts did not show clear differences. White-minus-non-White ROC AUC differences were consistently positive, from +0.005 (95% CI −0.031 to +0.042) to +0.046 (95% CI +0.006 to +0.087), but none survived adjustment. For feature-vector logistic regression, individual-level calibration slopes were 0.98 (95% CI 0.85–1.11) in White patients and 0.79 (95% CI 0.56–1.02) in patients with other recorded racial categories. These findings do not establish equitable performance (Multimedia Appendix 1, section S9).</w:t>
      </w:r>
    </w:p>
    <w:bookmarkEnd w:id="37"/>
    <w:bookmarkStart w:id="44" w:name="_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5).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the primary encoder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the primary encoder’s difference was tested, 0.007 (95% CI −0.001 to 0.014).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drawing>
          <wp:inline>
            <wp:extent cx="5486400" cy="5570854"/>
            <wp:effectExtent b="0" l="0" r="0" t="0"/>
            <wp:docPr descr="" title="" id="39" name="Picture"/>
            <a:graphic>
              <a:graphicData uri="http://schemas.openxmlformats.org/drawingml/2006/picture">
                <pic:pic>
                  <pic:nvPicPr>
                    <pic:cNvPr descr="../exports/results/cross_embedder_retrieval/neighbor_count_sweep_panels.png" id="40" name="Picture"/>
                    <pic:cNvPicPr>
                      <a:picLocks noChangeArrowheads="1" noChangeAspect="1"/>
                    </pic:cNvPicPr>
                  </pic:nvPicPr>
                  <pic:blipFill>
                    <a:blip r:embed="rId38"/>
                    <a:stretch>
                      <a:fillRect/>
                    </a:stretch>
                  </pic:blipFill>
                  <pic:spPr bwMode="auto">
                    <a:xfrm>
                      <a:off x="0" y="0"/>
                      <a:ext cx="5486400" cy="5570854"/>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Retrieval discrimination by neighborhood size for the other 3 encoders: (A) bge-small-en-v1.5, (B) bge-en-icl, and (C) Qwen3-Embedding-4B. Figure 4 is the same plot for Qwen3-Embedding-8B. Each panel draws ROC AUC in 8,516 test patients at every k from 1 to 34,063 for logistic-regression-weighted and plain cosine retrieval, with bootstrap 95% bands, and for random retrieval with uniform weights, as the mean across 1,000 draws within the 2.5th–97.5th percentile of the draws. Each encoder’s weights come from its own embedded logistic regression. Points mark each arm’s best k, chosen on the test patients, so the values there are optimistic. Horizontal lines mark that encoder’s embedded logistic regression and feature-vector XGBoost, which is the same in every panel. Curves use α = 1.</w:t>
      </w:r>
    </w:p>
    <w:p>
      <w:pPr>
        <w:pStyle w:val="BodyText"/>
      </w:pPr>
      <w:r>
        <w:t xml:space="preserve">The number of embedding dimensions each logistic regression relied on was similar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6). With 4 encoders, this comparison describes a relation and does not test one.</w:t>
      </w:r>
    </w:p>
    <w:p>
      <w:pPr>
        <w:pStyle w:val="BodyText"/>
      </w:pPr>
      <w:r>
        <w:drawing>
          <wp:inline>
            <wp:extent cx="5486400" cy="4601496"/>
            <wp:effectExtent b="0" l="0" r="0" t="0"/>
            <wp:docPr descr="" title="" id="42" name="Picture"/>
            <a:graphic>
              <a:graphicData uri="http://schemas.openxmlformats.org/drawingml/2006/picture">
                <pic:pic>
                  <pic:nvPicPr>
                    <pic:cNvPr descr="../exports/results/cross_embedder_retrieval/lr_dimensions_vs_best_k.png" id="43" name="Picture"/>
                    <pic:cNvPicPr>
                      <a:picLocks noChangeArrowheads="1" noChangeAspect="1"/>
                    </pic:cNvPicPr>
                  </pic:nvPicPr>
                  <pic:blipFill>
                    <a:blip r:embed="rId41"/>
                    <a:stretch>
                      <a:fillRect/>
                    </a:stretch>
                  </pic:blipFill>
                  <pic:spPr bwMode="auto">
                    <a:xfrm>
                      <a:off x="0" y="0"/>
                      <a:ext cx="5486400" cy="4601496"/>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bookmarkEnd w:id="44"/>
    <w:bookmarkEnd w:id="45"/>
    <w:bookmarkStart w:id="51" w:name="_discussion"/>
    <w:p>
      <w:pPr>
        <w:pStyle w:val="Heading1"/>
      </w:pPr>
      <w:r>
        <w:t xml:space="preserve">Discussion</w:t>
      </w:r>
    </w:p>
    <w:bookmarkStart w:id="46" w:name="_4ff16389c13055d3b73fad181cc5927e5a98872"/>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6"/>
    <w:bookmarkStart w:id="47" w:name="_3636ce9be5da45ab88a1fa0b95c3374871bf13a"/>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7"/>
    <w:bookmarkStart w:id="48" w:name="_d5f796a8c7b3734ab52735d14bab7ca275f0d55"/>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8"/>
    <w:bookmarkStart w:id="49" w:name="_2176107ceb905df0767f129fe8aec029a2e4a17"/>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9"/>
    <w:bookmarkStart w:id="50" w:name="_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50"/>
    <w:bookmarkEnd w:id="51"/>
    <w:bookmarkStart w:id="52" w:name="_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52"/>
    <w:bookmarkStart w:id="53" w:name="_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53"/>
    <w:bookmarkStart w:id="54" w:name="_ce73433e89afc27902f14cba7583f04156a1bb2"/>
    <w:p>
      <w:pPr>
        <w:pStyle w:val="Heading1"/>
      </w:pPr>
      <w:r>
        <w:t xml:space="preserve">Conflicts of Interest</w:t>
      </w:r>
    </w:p>
    <w:p>
      <w:pPr>
        <w:pStyle w:val="FirstParagraph"/>
      </w:pPr>
      <w:r>
        <w:t xml:space="preserve">None declared.</w:t>
      </w:r>
    </w:p>
    <w:bookmarkEnd w:id="54"/>
    <w:bookmarkStart w:id="55" w:name="_ea5c66868f283220c19382d0fdd5a852ec570ca"/>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5"/>
    <w:bookmarkStart w:id="56" w:name="_b8356044e1855f49faa1ecb5e0ecc373fd3b25d"/>
    <w:p>
      <w:pPr>
        <w:pStyle w:val="Heading1"/>
      </w:pPr>
      <w:r>
        <w:t xml:space="preserve">Authors Contributions</w:t>
      </w:r>
    </w:p>
    <w:p>
      <w:pPr>
        <w:pStyle w:val="FirstParagraph"/>
      </w:pPr>
      <w:r>
        <w:t xml:space="preserve">MF designed and implemented the analysis pipeline, performed all modeling and statistical analysis, produced all figures and tables, including those in Multimedia Appendix 1, and wrote the Methods and Results. MP directed the project, supervised its scientific design and interpretation, and wrote the rest of the manuscript.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6"/>
    <w:bookmarkStart w:id="57" w:name="_84a99ffdccc35137f46316f3ade1c2b3666e00f"/>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7"/>
    <w:bookmarkStart w:id="58" w:name="_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8"/>
    <w:bookmarkStart w:id="59" w:name="_0e5fd1e419bdcc070144e07b692f54cc99ea860"/>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9"/>
    <w:bookmarkStart w:id="60"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6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5" Target="media/rId15.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2026-10-06T11:34:56Z</dcterms:created>
  <dcterms:modified xsi:type="dcterms:W3CDTF">2026-10-06T11:34:56Z</dcterms:modified>
</cp:coreProperties>
</file>

<file path=docProps/custom.xml><?xml version="1.0" encoding="utf-8"?>
<Properties xmlns="http://schemas.openxmlformats.org/officeDocument/2006/custom-properties" xmlns:vt="http://schemas.openxmlformats.org/officeDocument/2006/docPropsVTypes"/>
</file>