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_5c48de31bbacefba0a4c9180d4a3c6aa5ea51ef"/>
    <w:p>
      <w:pPr>
        <w:pStyle w:val="Heading1"/>
      </w:pPr>
      <w:r>
        <w:t xml:space="preserve">S5 Example Patient Narratives</w:t>
      </w:r>
    </w:p>
    <w:p>
      <w:pPr>
        <w:pStyle w:val="FirstParagraph"/>
      </w:pPr>
      <w:r>
        <w:t xml:space="preserve">Two deterministic narratives are reproduced verbatim, one from each outcome class. They were selected as the first patient by sorted deidentified hash within each class using scripts/pipeline/neighbors/narrative_audit.py. Inputs contained structured EHR fields only. Fixed section order, explicit absence labels, and missing-value tokens formed the template.</w:t>
      </w:r>
    </w:p>
    <w:p>
      <w:pPr>
        <w:pStyle w:val="BodyText"/>
      </w:pPr>
      <w:r>
        <w:t xml:space="preserve">The original renderer uses</w:t>
      </w:r>
      <w:r>
        <w:t xml:space="preserve"> </w:t>
      </w:r>
      <w:r>
        <w:t xml:space="preserve">“anchor”</w:t>
      </w:r>
      <w:r>
        <w:t xml:space="preserve"> </w:t>
      </w:r>
      <w:r>
        <w:t xml:space="preserve">for the index and</w:t>
      </w:r>
      <w:r>
        <w:t xml:space="preserve"> </w:t>
      </w:r>
      <w:r>
        <w:t xml:space="preserve">“Baseline window”</w:t>
      </w:r>
      <w:r>
        <w:t xml:space="preserve"> </w:t>
      </w:r>
      <w:r>
        <w:t xml:space="preserve">for the lookback window. These labels are preserved because they show the actual encoder input.</w:t>
      </w:r>
    </w:p>
    <w:p>
      <w:pPr>
        <w:pStyle w:val="BodyText"/>
      </w:pPr>
      <w:r>
        <w:t xml:space="preserve">The examples show field asymmetries documented in section S10: narratives include vital signs, sexual orientation, index dates, raw sociodemographic values, and medication names. FEATURE omits some of these fields or uses coarser encodings, but includes total recorded history length. A missing sexual-orientation value appears as the literal token nan.</w:t>
      </w:r>
    </w:p>
    <w:p>
      <w:pPr>
        <w:pStyle w:val="BodyText"/>
      </w:pPr>
      <w:r>
        <w:t xml:space="preserve">TRD-positive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(Dysthymia, Unspecified) | Index date: 2022-10-06 | Baseline window: -730...0 days | MDD-to-anchor gap: 57 days | Encounters in window: 34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Male | PreferredLanguage: English | AgeInYears: 37 | SexualOrientation: nan | MaritalStatus: Married | Religion: Baptist | SmokingStatus: Never | Race_Ethnicity: American Indian or Alaska Native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29.8 | BP (mean): 140/88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Present | SUD: Present | INSOMNIA: Present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Present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1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eszopiclone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p>
      <w:pPr>
        <w:pStyle w:val="FirstParagraph"/>
      </w:pPr>
      <w:r>
        <w:t xml:space="preserve">TRD-negative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(Recurrent, Moderate) | Index date: 2025-05-09 | Baseline window: -730...0 days | MDD-to-anchor gap: 0 days | Encounters in window: 2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Female | PreferredLanguage: English | AgeInYears: 52 | SexualOrientation: nan | MaritalStatus: Single | Religion: Baptist | SmokingStatus: Every Day | Race_Ethnicity: White or Caucasian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35.6 | BP (mean): 138/86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Absent | SUD: Present | INSOMNIA: Absent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Absent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0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Absent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bookmarkEnd w:id="9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2026-10-06T11:28:47Z</dcterms:created>
  <dcterms:modified xsi:type="dcterms:W3CDTF">2026-10-06T11:28:47Z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