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_methods"/>
    <w:p>
      <w:pPr>
        <w:pStyle w:val="Heading1"/>
      </w:pPr>
      <w:r>
        <w:t xml:space="preserve">Methods</w:t>
      </w:r>
    </w:p>
    <w:bookmarkStart w:id="9" w:name="_49e275e0513b8e1e92cbc33a2b96fdd1a4287bf"/>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The extract combined 2 groups: every patient with a depression flag on the problem list (100,420, 20.0%, 95% CI 19.9–20.1) and a random sample of patients without that flag (401,298, 80.0%, 95% CI 79.9–80.1). Eligibility was then decided from diagnoses recorded at encounters, not from the flag. Some patients in the random sample therefore qualified: 12,530 of the 42,579 eligible patients (29.4%, 95% CI 29.0–29.9) had no depression flag. Because every flagged patient was kept, the sample over-represents depression, and its outcome frequency is not the health system’s.</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9"/>
    <w:bookmarkStart w:id="13" w:name="_f2dd39f973457dd42f3db9d2cfa3214359c7119"/>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The index was chosen without looking at anything after it, such as later dose, duration, response, or switching.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60320"/>
            <wp:effectExtent b="0" l="0" r="0" t="0"/>
            <wp:docPr descr="" title="" id="11" name="Picture"/>
            <a:graphic>
              <a:graphicData uri="http://schemas.openxmlformats.org/drawingml/2006/picture">
                <pic:pic>
                  <pic:nvPicPr>
                    <pic:cNvPr descr="/Users/mikeyferguson/Developer/Atlas/.claude/worktrees/wf_ac3faf7c-0a3-1/research/TRD-EHR/exports/results/Qwen-Qwen3-Embedding-8B/google_medgemma-27b-text-it/time_zero_timeline.png" id="12" name="Picture"/>
                    <pic:cNvPicPr>
                      <a:picLocks noChangeArrowheads="1" noChangeAspect="1"/>
                    </pic:cNvPicPr>
                  </pic:nvPicPr>
                  <pic:blipFill>
                    <a:blip r:embed="rId10"/>
                    <a:stretch>
                      <a:fillRect/>
                    </a:stretch>
                  </pic:blipFill>
                  <pic:spPr bwMode="auto">
                    <a:xfrm>
                      <a:off x="0" y="0"/>
                      <a:ext cx="5486400" cy="2560320"/>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For 25,645 of the 42,579 patients (60.2%, 95% CI 59.8–60.7), the index prescription was written on the same day as the first depression diagnosis. EHR: electronic health record; MDD: major depressive disorder; TRD: treatment-resistant depression proxy.</w:t>
      </w:r>
    </w:p>
    <w:bookmarkEnd w:id="13"/>
    <w:bookmarkStart w:id="14" w:name="_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No symptom rating scale, such as the PHQ-9, was available to show whether a patient improved. We also could not tell whether each counted treatment was given at an adequate dose for long enough. Switching could reflect nonresponse, intolerance, preference, access, or prescribing practice. Switching also depends on access to care, and in the United States access to depression treatment differs by race and ethnicity. A patient with poor access has fewer chances to switch, so is less likely to be labeled positive, whatever their illness. The label was not checked against charts or symptom scores (Multimedia Appendix 1, section M3). We therefore call the outcome a</w:t>
      </w:r>
      <w:r>
        <w:t xml:space="preserve"> </w:t>
      </w:r>
      <w:r>
        <w:t xml:space="preserve">“TRD proxy”</w:t>
      </w:r>
      <w:r>
        <w:t xml:space="preserve"> </w:t>
      </w:r>
      <w:r>
        <w:t xml:space="preserve">rather than TRD.</w:t>
      </w:r>
    </w:p>
    <w:bookmarkEnd w:id="14"/>
    <w:bookmarkStart w:id="15" w:name="_bc2ecf9ae28c51bfb04f261c78498a3323eb498"/>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A prior antidepressant trial was counted when the patient was on the drug for at least 42 continuous days. The rule counts time on the drug only, not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15"/>
    <w:bookmarkStart w:id="16" w:name="_5f61c62670e39b803565c99f58f9215be61faf5"/>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Each classifier searched the same hyperparameter grid for both representations, and the best setting was chosen separately for each, so the selected hyperparameters could differ (Multimedia Appendix 1, sections M7–M9).</w:t>
      </w:r>
    </w:p>
    <w:p>
      <w:pPr>
        <w:pStyle w:val="BodyText"/>
      </w:pPr>
      <w:r>
        <w:t xml:space="preserve">We assessed ROC AUC, area under the precision–recall curve (AUPRC), Brier score, and calibration. All calibration estimates concern this enriched cohort.</w:t>
      </w:r>
    </w:p>
    <w:p>
      <w:pPr>
        <w:pStyle w:val="BodyText"/>
      </w:pPr>
      <w:r>
        <w:t xml:space="preserve">95% CIs came from resampling the test patients with replacement (the bootstrap). A difference between 2 models used the same resampled patients for both, which is called a paired bootstrap. We compared the representations in 2 ways. First, each classifier on embeddings was compared with the same classifier on feature vectors. Second, the best embedded model was compared with the best feature-vector model. Those 2 models were picked after seeing their test results, so the second comparison was not planned in advance. We set no margin for calling 2 models equivalent, so an interval that includes zero means no difference was found, not that the models are the same. Sensitivity and specificity at the threshold that maximized their sum in the test patients are given in Multimedia Appendix 1, section S12, as descriptions only.</w:t>
      </w:r>
    </w:p>
    <w:bookmarkEnd w:id="16"/>
    <w:bookmarkStart w:id="17" w:name="_cc823ed83dc5ec31f8d38080373b9a0a736c5b0"/>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Logistic-regression-weighted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eqArr>
            <m:e>
              <m:sSub>
                <m:e>
                  <m:r>
                    <m:rPr>
                      <m:sty m:val="p"/>
                    </m:rPr>
                    <m:t>s</m:t>
                  </m:r>
                  <m:r>
                    <m:rPr>
                      <m:sty m:val="p"/>
                    </m:rPr>
                    <m:t>i</m:t>
                  </m:r>
                  <m:r>
                    <m:rPr>
                      <m:sty m:val="p"/>
                    </m:rPr>
                    <m:t>m</m:t>
                  </m:r>
                </m:e>
                <m:sub>
                  <m:r>
                    <m:t>w</m:t>
                  </m:r>
                </m:sub>
              </m:sSub>
              <m:r>
                <m:rPr>
                  <m:sty m:val="p"/>
                </m:rPr>
                <m:t>(</m:t>
              </m:r>
              <m:r>
                <m:t>x</m:t>
              </m:r>
              <m:r>
                <m:rPr>
                  <m:sty m:val="p"/>
                </m:rPr>
                <m:t>,</m:t>
              </m:r>
              <m:r>
                <m:t>y</m:t>
              </m:r>
              <m:r>
                <m:rPr>
                  <m:sty m:val="p"/>
                </m:rPr>
                <m:t>)</m:t>
              </m:r>
              <m:r>
                <m:t>&amp;</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e>
            <m:e>
              <m:sSub>
                <m:e>
                  <m:r>
                    <m:t>w</m:t>
                  </m:r>
                </m:e>
                <m:sub>
                  <m:r>
                    <m:t>d</m:t>
                  </m:r>
                </m:sub>
              </m:sSub>
              <m:r>
                <m:t>&amp;</m:t>
              </m:r>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e>
          </m:eqArr>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Neighbors were chosen in 2 ways, nearest and random. Random retrieval averaged the outcomes of k training patients drawn at random, with equal weights, in 1,000 seeded draws; its interval is the 2.5th to 97.5th percentile across draws. Both were scored at every k from 1 to all 34,063 training patients, nearest retrieval under α = 1, 2, and 5. Each retrieval arm, the 2 nearest-neighbor metrics and random retrieval, therefore yields a curve over k, not a value at one k. Apart from those curves, every performance value reported for a retrieval arm is at that arm’s best k, the k with the highest ROC AUC in the test patients, except where a fixed k is named. That includes ROC curves, confusion matrices, maxima, and the AUPRC, Brier and calibration summaries. Because that k was chosen on the test patients, these values are optimistic. Details appear in Multimedia Appendix 1, sections M10–M12 and S6.</w:t>
      </w:r>
    </w:p>
    <w:p>
      <w:pPr>
        <w:pStyle w:val="BodyText"/>
      </w:pPr>
      <w:r>
        <w:t xml:space="preserve">Additional analyses examined encoder robustness, model dimensionality, record length, and subgroup performance. Subgroup comparisons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17"/>
    <w:bookmarkStart w:id="18" w:name="_2167f12c33b4c5bf55da6a4c284c297820adfc8"/>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18"/>
    <w:bookmarkEnd w:id="19"/>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2026-10-06T11:28:18Z</dcterms:created>
  <dcterms:modified xsi:type="dcterms:W3CDTF">2026-10-06T11:28:18Z</dcterms:modified>
</cp:coreProperties>
</file>

<file path=docProps/custom.xml><?xml version="1.0" encoding="utf-8"?>
<Properties xmlns="http://schemas.openxmlformats.org/officeDocument/2006/custom-properties" xmlns:vt="http://schemas.openxmlformats.org/officeDocument/2006/docPropsVTypes"/>
</file>