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access to depression treatment differs across US racial and ethnic groups, so the label can record unequal access as clinical signal (with Supplement M3). 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at its best k, chosen on the test patients and therefore optimistic (Methods,</w:t>
            </w:r>
            <w:r>
              <w:t xml:space="preserve"> </w:t>
            </w:r>
            <w:r>
              <w:rPr>
                <w:iCs/>
                <w:i/>
              </w:rPr>
              <w:t xml:space="preserve">Supporting Analyses</w:t>
            </w:r>
            <w:r>
              <w:t xml:space="preserve">; Supplement M10).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stated in Methods,</w:t>
            </w:r>
            <w:r>
              <w:t xml:space="preserve"> </w:t>
            </w:r>
            <w:r>
              <w:rPr>
                <w:iCs/>
                <w:i/>
              </w:rPr>
              <w:t xml:space="preserve">Model Development and Evaluation</w:t>
            </w:r>
            <w:r>
              <w:t xml:space="preserve">.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(0.005–0.046),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each retrieval arm at its best k with its 95% CI, and the random floor with its 2.5th–97.5th percentile band);</w:t>
            </w:r>
            <w:r>
              <w:t xml:space="preserve"> </w:t>
            </w:r>
            <w:r>
              <w:rPr>
                <w:iCs/>
                <w:i/>
              </w:rPr>
              <w:t xml:space="preserve">Nearest-Neighbor Retrieval Across Encoders</w:t>
            </w:r>
            <w:r>
              <w:t xml:space="preserve"> </w:t>
            </w:r>
            <w:r>
              <w:t xml:space="preserve">(Figure 5, each encoder’s retrieval at its best k with its 95% CI); Supplement S2–S3 (Tables S1–S4, every classifier and each retrieval arm at its best k with a bootstrap 95% CI), S6 (Table S7, Figures S8–S9), S7 (Table S8),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2026-10-01T22:56:45Z</dcterms:created>
  <dcterms:modified xsi:type="dcterms:W3CDTF">2026-10-01T22:56:45Z</dcterms:modified>
</cp:coreProperties>
</file>

<file path=docProps/custom.xml><?xml version="1.0" encoding="utf-8"?>
<Properties xmlns="http://schemas.openxmlformats.org/officeDocument/2006/custom-properties" xmlns:vt="http://schemas.openxmlformats.org/officeDocument/2006/docPropsVTypes"/>
</file>