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4.png" ContentType="image/png"/>
  <Override PartName="/word/media/rId22.png" ContentType="image/png"/>
  <Override PartName="/word/media/rId23.png" ContentType="image/png"/>
  <Override PartName="/word/media/rId2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4-encoder-similarity-geometry"/>
    <w:p>
      <w:pPr>
        <w:pStyle w:val="Heading1"/>
      </w:pPr>
      <w:r>
        <w:t xml:space="preserve">S4 Encoder Similarity Geometry</w:t>
      </w:r>
    </w:p>
    <w:p>
      <w:pPr>
        <w:pStyle w:val="FirstParagraph"/>
      </w:pPr>
      <w:r>
        <w:t xml:space="preserve">Figure S6 compares cosine similarities for random patient pairs and nearest-neighbor pairs. The 3 larger encoders produced broadly unimodal random-pair distributions. bge-small-en-v1.5 showed multiple modes at high similarity values, prompting a descriptive analysis of the corresponding narrative wording.</w:t>
      </w:r>
    </w:p>
    <w:p>
      <w:pPr>
        <w:pStyle w:val="BodyText"/>
      </w:pPr>
      <w:r>
        <w:t xml:space="preserve">A bge-small-en-v1.5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small-en-v1.5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bge-en-icl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en-icl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S6. Continued on the next page.</w:t>
      </w:r>
    </w:p>
    <w:p>
      <w:pPr>
        <w:pStyle w:val="BodyText"/>
      </w:pPr>
      <w:r>
        <w:t xml:space="preserve">C Qwen3-Embedding-4B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4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Qwen3-Embedding-8B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S6. Cosine similarity for random pairs (red) and nearest-neighbor pairs (green) for bge-small-en-v1.5 (A), bge-en-icl (B), Qwen3-Embedding-4B (C), and Qwen3-Embedding-8B (D). Axis ranges differ across encoders. The smallest encoder shows a multimodal random-pair distribution.</w:t>
      </w:r>
    </w:p>
    <w:p>
      <w:pPr>
        <w:pStyle w:val="BodyText"/>
      </w:pPr>
      <w:r>
        <w:t xml:space="preserve">K-means clustering of L2-normalized bge-small embeddings (k=2) separated 42,579 patients into groups of 14,438 and 28,141. The partition closely tracked whether the narrative contained the token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(Table S5).</w:t>
      </w:r>
    </w:p>
    <w:p>
      <w:pPr>
        <w:pStyle w:val="BodyText"/>
      </w:pPr>
      <w:r>
        <w:t xml:space="preserve">The token occurs in</w:t>
      </w:r>
      <w:r>
        <w:t xml:space="preserve"> </w:t>
      </w:r>
      <w:r>
        <w:t xml:space="preserve">“</w:t>
      </w:r>
      <w:r>
        <w:t xml:space="preserve">Single Episode</w:t>
      </w:r>
      <w:r>
        <w:t xml:space="preserve">”</w:t>
      </w:r>
      <w:r>
        <w:t xml:space="preserve"> </w:t>
      </w:r>
      <w:r>
        <w:t xml:space="preserve">but not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Dysthymia.</w:t>
      </w:r>
      <w:r>
        <w:t xml:space="preserve">”</w:t>
      </w:r>
      <w:r>
        <w:t xml:space="preserve"> </w:t>
      </w:r>
      <w:r>
        <w:t xml:space="preserve">Thus, the partition should not be described simply as recurrent versus nonrecurrent depression.</w:t>
      </w:r>
    </w:p>
    <w:p>
      <w:pPr>
        <w:pStyle w:val="BodyText"/>
      </w:pPr>
      <w:r>
        <w:t xml:space="preserve">Cluster B (n=28,141) largely comprised narratives containing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; the full cohort contained 28,206 patients coded single episode.</w:t>
      </w:r>
    </w:p>
    <w:p>
      <w:pPr>
        <w:pStyle w:val="BodyText"/>
      </w:pPr>
      <w:r>
        <w:t xml:space="preserve">Cluster A (n=14,438) largely lacked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and included both recurrent and other depression codes. The full cohort contained 11,213 recurrent-coded patients.</w:t>
      </w:r>
    </w:p>
    <w:p>
      <w:pPr>
        <w:pStyle w:val="BodyText"/>
      </w:pPr>
      <w:r>
        <w:t xml:space="preserve">Table S5. Fraction of narratives containing selected tokens within each top-level k-means cluster. Cluster A has 14,438 patients and cluster B has 28,141.</w:t>
      </w:r>
      <w:r>
        <w:t xml:space="preserve"> </w:t>
      </w:r>
      <w:r>
        <w:t xml:space="preserve">“</w:t>
      </w:r>
      <w:r>
        <w:t xml:space="preserve">Single</w:t>
      </w:r>
      <w:r>
        <w:t xml:space="preserve">”</w:t>
      </w:r>
      <w:r>
        <w:t xml:space="preserve"> </w:t>
      </w:r>
      <w:r>
        <w:t xml:space="preserve">may also denote marital status.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P(present | cluster A)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P(present | cluster B)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|Δ|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0.23</w:t>
            </w:r>
          </w:p>
        </w:tc>
      </w:tr>
    </w:tbl>
    <w:p>
      <w:pPr>
        <w:pStyle w:val="BodyText"/>
      </w:pPr>
      <w:r>
        <w:t xml:space="preserve">Figure S7 stratifies pairwise similarities by token agreement. Blue denotes pairs agreeing on token presence, red denotes disagreement, and gray denotes all pairs.</w:t>
      </w:r>
    </w:p>
    <w:p>
      <w:pPr>
        <w:pStyle w:val="BodyText"/>
      </w:pPr>
      <w:r>
        <w:t xml:space="preserve">Across the cohort, pairs agreeing on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had higher similarities than pairs differing on that token (Figure S7A). This association links the observed modes to diagnostic wording but does not isolate a causal token effect from correlated clinical information.</w:t>
      </w:r>
    </w:p>
    <w:p>
      <w:pPr>
        <w:pStyle w:val="BodyText"/>
      </w:pPr>
      <w:r>
        <w:t xml:space="preserve">Within cluster A, the same comparison using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again separated similarity distributions (Figure S7B). The nested k-means subgroups contained 11,425 and 3,013 patients; these cluster sizes should not be equated with diagnosis-code counts.</w:t>
      </w:r>
    </w:p>
    <w:p>
      <w:pPr>
        <w:pStyle w:val="BodyText"/>
      </w:pPr>
      <w:r>
        <w:t xml:space="preserve">Within cluster B, similarity distributions showed little separation by the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token. Nested cluster results are summarized in Table S6.</w:t>
      </w:r>
    </w:p>
    <w:p>
      <w:pPr>
        <w:pStyle w:val="BodyText"/>
      </w:pPr>
      <w:r>
        <w:t xml:space="preserve">A All patients</w:t>
      </w:r>
    </w:p>
    <w:p>
      <w:pPr>
        <w:pStyle w:val="BodyText"/>
      </w:pPr>
      <w:r>
        <w:drawing>
          <wp:inline>
            <wp:extent cx="5303520" cy="34719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recurrence_bimoda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7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Cluster A</w:t>
      </w:r>
    </w:p>
    <w:p>
      <w:pPr>
        <w:pStyle w:val="BodyText"/>
      </w:pPr>
      <w:r>
        <w:drawing>
          <wp:inline>
            <wp:extent cx="5303520" cy="34719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cluster0_sub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7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S7. Pairwise similarity by agreement on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across the cohort (A) and on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within cluster A (B). Blue denotes token agreement, red disagreement, and gray all pairs. The analysis is descriptive and does not establish that wording alone causes the separation.</w:t>
      </w:r>
    </w:p>
    <w:p>
      <w:pPr>
        <w:pStyle w:val="BodyText"/>
      </w:pPr>
      <w:r>
        <w:t xml:space="preserve">We re-ran k-means (k=2) within each parent cluster and described separation using the cosine silhouette in a seeded 5,000-patient subsample. The top-level silhouette was 0.48.</w:t>
      </w:r>
    </w:p>
    <w:p>
      <w:pPr>
        <w:pStyle w:val="BodyText"/>
      </w:pPr>
      <w:r>
        <w:t xml:space="preserve">Silhouette values summarize within- versus between-cluster similarity and are descriptive, not hypothesis tests. They do not by themselves establish discrete biological or clinical subgroups.</w:t>
      </w:r>
    </w:p>
    <w:p>
      <w:pPr>
        <w:pStyle w:val="BodyText"/>
      </w:pPr>
      <w:r>
        <w:t xml:space="preserve">Cluster A had a nested silhouette of 0.69. The larger subgroup (n=11,425) contained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in 98% of narratives, whereas the smaller subgroup (n=3,013) contained</w:t>
      </w:r>
      <w:r>
        <w:t xml:space="preserve"> </w:t>
      </w:r>
      <w:r>
        <w:t xml:space="preserve">“</w:t>
      </w:r>
      <w:r>
        <w:t xml:space="preserve">unspecified</w:t>
      </w:r>
      <w:r>
        <w:t xml:space="preserve">”</w:t>
      </w:r>
      <w:r>
        <w:t xml:space="preserve"> </w:t>
      </w:r>
      <w:r>
        <w:t xml:space="preserve">in all narratives. Cluster B had weaker separation (silhouette 0.21);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appeared in 88% versus 2% of its subgroups. Medication tokens also differed, consistent with differences in record content.</w:t>
      </w:r>
    </w:p>
    <w:p>
      <w:pPr>
        <w:pStyle w:val="BodyText"/>
      </w:pPr>
      <w:r>
        <w:t xml:space="preserve">Table S6. Nested k-means results within each parent cluster. Token proportions describe presence in the 2 subgroups. The top-level cosine silhouette was 0.48; higher values indicate greater geometric separation, without establishing clinical validity.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cluster (n)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Splits into (n / 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Driving token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present, sub 1 / sub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 silhouette (top level = 0.48)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A: no</w:t>
            </w:r>
            <w:r>
              <w:t xml:space="preserve"> </w:t>
            </w:r>
            <w:r>
              <w:t xml:space="preserve">“</w:t>
            </w:r>
            <w:r>
              <w:t xml:space="preserve">episode</w:t>
            </w:r>
            <w:r>
              <w:t xml:space="preserve">”</w:t>
            </w:r>
            <w:r>
              <w:t xml:space="preserve"> </w:t>
            </w:r>
            <w:r>
              <w:t xml:space="preserve">token (14,438)</w:t>
            </w:r>
          </w:p>
        </w:tc>
        <w:tc>
          <w:p>
            <w:pPr>
              <w:pStyle w:val="Compact"/>
              <w:jc w:val="left"/>
            </w:pPr>
            <w:r>
              <w:t xml:space="preserve">recurrent + severity (11,425) / unspecified (3,013)</w:t>
            </w:r>
          </w:p>
        </w:tc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left"/>
            </w:pPr>
            <w:r>
              <w:t xml:space="preserve">0.98 / 0.00</w:t>
            </w:r>
          </w:p>
        </w:tc>
        <w:tc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p>
            <w:pPr>
              <w:pStyle w:val="Compact"/>
              <w:jc w:val="left"/>
            </w:pPr>
            <w:r>
              <w:t xml:space="preserve">Stronger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B: single-episode (28,141)</w:t>
            </w:r>
          </w:p>
        </w:tc>
        <w:tc>
          <w:p>
            <w:pPr>
              <w:pStyle w:val="Compact"/>
              <w:jc w:val="left"/>
            </w:pPr>
            <w:r>
              <w:t xml:space="preserve">sparse record (6,594) / populated record (21,547)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0.88 / 0.02</w:t>
            </w:r>
          </w:p>
        </w:tc>
        <w:tc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p>
            <w:pPr>
              <w:pStyle w:val="Compact"/>
              <w:jc w:val="left"/>
            </w:pPr>
            <w:r>
              <w:t xml:space="preserve">Weaker</w:t>
            </w:r>
          </w:p>
        </w:tc>
      </w:tr>
    </w:tbl>
    <w:p>
      <w:pPr>
        <w:pStyle w:val="BodyText"/>
      </w:pPr>
      <w:r>
        <w:t xml:space="preserve">These findings show sensitivity of the smallest encoder’s geometry to diagnostic wording and missing-value tokens. They may help explain its retrieval behavior, but do not establish why its discrimination was lower (Table S15). Primary analyses used Qwen3-Embedding-8B.</w:t>
      </w:r>
    </w:p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2026-09-30T04:37:57Z</dcterms:created>
  <dcterms:modified xsi:type="dcterms:W3CDTF">2026-09-30T04:37:57Z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